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50" w:rsidRDefault="00952750" w:rsidP="00952750">
      <w:r>
        <w:rPr>
          <w:rFonts w:cs="Segoe UI"/>
          <w:noProof/>
          <w:sz w:val="18"/>
          <w:szCs w:val="18"/>
          <w:lang w:eastAsia="en-GB"/>
        </w:rPr>
        <w:drawing>
          <wp:inline distT="0" distB="0" distL="0" distR="0">
            <wp:extent cx="1076325" cy="1076325"/>
            <wp:effectExtent l="0" t="0" r="9525" b="9525"/>
            <wp:docPr id="3" name="Picture 3" descr="RSF_green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F_green_CY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tab/>
      </w:r>
      <w:r>
        <w:tab/>
      </w:r>
      <w:r>
        <w:tab/>
      </w:r>
      <w:r>
        <w:tab/>
      </w:r>
      <w:r>
        <w:tab/>
      </w:r>
      <w:r>
        <w:tab/>
      </w:r>
      <w:r>
        <w:tab/>
      </w:r>
      <w:r>
        <w:rPr>
          <w:noProof/>
          <w:lang w:eastAsia="en-GB"/>
        </w:rPr>
        <w:drawing>
          <wp:inline distT="0" distB="0" distL="0" distR="0">
            <wp:extent cx="1111394" cy="1142555"/>
            <wp:effectExtent l="0" t="0" r="0" b="635"/>
            <wp:docPr id="4" name="Picture 4" descr="C:\Users\Becky\Documents\My Dropbox\Hadstrong\Road Safety Foundation\2012 Tracking Survey\Ageas Logo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Documents\My Dropbox\Hadstrong\Road Safety Foundation\2012 Tracking Survey\Ageas Logo CMYK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736" cy="1149075"/>
                    </a:xfrm>
                    <a:prstGeom prst="rect">
                      <a:avLst/>
                    </a:prstGeom>
                    <a:noFill/>
                    <a:ln>
                      <a:noFill/>
                    </a:ln>
                  </pic:spPr>
                </pic:pic>
              </a:graphicData>
            </a:graphic>
          </wp:inline>
        </w:drawing>
      </w:r>
      <w:r>
        <w:tab/>
      </w:r>
    </w:p>
    <w:p w:rsidR="00952750" w:rsidRPr="007A6172" w:rsidRDefault="00952750" w:rsidP="00952750"/>
    <w:p w:rsidR="00952750" w:rsidRDefault="00952750" w:rsidP="00952750">
      <w:pPr>
        <w:spacing w:line="276" w:lineRule="auto"/>
        <w:rPr>
          <w:b/>
          <w:color w:val="FF0000"/>
        </w:rPr>
      </w:pPr>
      <w:r>
        <w:rPr>
          <w:b/>
          <w:color w:val="FF0000"/>
        </w:rPr>
        <w:t xml:space="preserve">PRESS RELEASE EMBARGOED UNTIL 00.01 </w:t>
      </w:r>
      <w:r w:rsidR="00E75A75">
        <w:rPr>
          <w:b/>
          <w:color w:val="FF0000"/>
        </w:rPr>
        <w:t>Thursday 4 July 2019</w:t>
      </w:r>
    </w:p>
    <w:p w:rsidR="00952750" w:rsidRDefault="00952750" w:rsidP="00952750">
      <w:pPr>
        <w:spacing w:line="276" w:lineRule="auto"/>
        <w:rPr>
          <w:b/>
          <w:color w:val="FF0000"/>
        </w:rPr>
      </w:pPr>
    </w:p>
    <w:p w:rsidR="00B437AD" w:rsidRDefault="000E1424" w:rsidP="0007777A">
      <w:pPr>
        <w:jc w:val="center"/>
        <w:rPr>
          <w:b/>
        </w:rPr>
      </w:pPr>
      <w:r>
        <w:rPr>
          <w:b/>
        </w:rPr>
        <w:t xml:space="preserve">GOVERNMENTS MUST TAKE THE LEAD </w:t>
      </w:r>
      <w:r w:rsidR="0007777A" w:rsidRPr="0007777A">
        <w:rPr>
          <w:b/>
        </w:rPr>
        <w:t xml:space="preserve">TO ELIMINATE </w:t>
      </w:r>
    </w:p>
    <w:p w:rsidR="0007777A" w:rsidRPr="0007777A" w:rsidRDefault="00B437AD" w:rsidP="0007777A">
      <w:pPr>
        <w:jc w:val="center"/>
        <w:rPr>
          <w:b/>
        </w:rPr>
      </w:pPr>
      <w:r>
        <w:rPr>
          <w:b/>
        </w:rPr>
        <w:t xml:space="preserve">ROAD </w:t>
      </w:r>
      <w:r w:rsidR="0007777A" w:rsidRPr="0007777A">
        <w:rPr>
          <w:b/>
        </w:rPr>
        <w:t>DEATHS AND SERIOUS INJURIES</w:t>
      </w:r>
    </w:p>
    <w:p w:rsidR="00E75A75" w:rsidRDefault="00E75A75"/>
    <w:p w:rsidR="000E1424" w:rsidRDefault="000E1424" w:rsidP="000E1424">
      <w:r>
        <w:t xml:space="preserve">A report out today from </w:t>
      </w:r>
      <w:r w:rsidR="00733CBD">
        <w:t xml:space="preserve">The Road Safety Foundation </w:t>
      </w:r>
      <w:r w:rsidR="007B60AF">
        <w:t xml:space="preserve">and </w:t>
      </w:r>
      <w:r w:rsidR="00733CBD">
        <w:t xml:space="preserve">Ageas </w:t>
      </w:r>
      <w:r w:rsidR="007B60AF">
        <w:t xml:space="preserve">Insurance </w:t>
      </w:r>
      <w:r w:rsidRPr="00AF4A0D">
        <w:t>calls for</w:t>
      </w:r>
      <w:r>
        <w:rPr>
          <w:i/>
        </w:rPr>
        <w:t xml:space="preserve"> </w:t>
      </w:r>
      <w:r>
        <w:t>two clear actions where the government can take an immediate lead</w:t>
      </w:r>
      <w:r w:rsidR="00733CBD">
        <w:t xml:space="preserve"> to reduce the number of fatal and serious crashes</w:t>
      </w:r>
      <w:r w:rsidR="00733CBD" w:rsidRPr="00AF4A0D">
        <w:rPr>
          <w:i/>
        </w:rPr>
        <w:t xml:space="preserve"> </w:t>
      </w:r>
      <w:r w:rsidRPr="00AF4A0D">
        <w:rPr>
          <w:i/>
        </w:rPr>
        <w:t>and</w:t>
      </w:r>
      <w:r>
        <w:t xml:space="preserve"> deliver high returns</w:t>
      </w:r>
      <w:r w:rsidR="00D64CD0">
        <w:t xml:space="preserve"> to society</w:t>
      </w:r>
      <w:r>
        <w:t xml:space="preserve">. </w:t>
      </w:r>
    </w:p>
    <w:p w:rsidR="00733CBD" w:rsidRDefault="00733CBD" w:rsidP="000E1424"/>
    <w:p w:rsidR="000E1424" w:rsidRDefault="00733CBD" w:rsidP="00733CBD">
      <w:r w:rsidRPr="000D708B">
        <w:rPr>
          <w:i/>
        </w:rPr>
        <w:t xml:space="preserve">“How Safe </w:t>
      </w:r>
      <w:r>
        <w:rPr>
          <w:i/>
        </w:rPr>
        <w:t>A</w:t>
      </w:r>
      <w:r w:rsidRPr="000D708B">
        <w:rPr>
          <w:i/>
        </w:rPr>
        <w:t>re</w:t>
      </w:r>
      <w:r w:rsidR="00EE21E8">
        <w:rPr>
          <w:i/>
        </w:rPr>
        <w:t xml:space="preserve"> You o</w:t>
      </w:r>
      <w:r>
        <w:rPr>
          <w:i/>
        </w:rPr>
        <w:t xml:space="preserve">n </w:t>
      </w:r>
      <w:r w:rsidRPr="000D708B">
        <w:rPr>
          <w:i/>
        </w:rPr>
        <w:t xml:space="preserve">Britain’s </w:t>
      </w:r>
      <w:r>
        <w:rPr>
          <w:i/>
        </w:rPr>
        <w:t xml:space="preserve">Main </w:t>
      </w:r>
      <w:r w:rsidRPr="000D708B">
        <w:rPr>
          <w:i/>
        </w:rPr>
        <w:t>Road</w:t>
      </w:r>
      <w:r>
        <w:rPr>
          <w:i/>
        </w:rPr>
        <w:t xml:space="preserve"> Networks?</w:t>
      </w:r>
      <w:r w:rsidRPr="000D708B">
        <w:rPr>
          <w:i/>
        </w:rPr>
        <w:t>”</w:t>
      </w:r>
      <w:r>
        <w:rPr>
          <w:i/>
        </w:rPr>
        <w:t xml:space="preserve"> </w:t>
      </w:r>
      <w:r w:rsidRPr="00733CBD">
        <w:t xml:space="preserve">says </w:t>
      </w:r>
      <w:r>
        <w:t xml:space="preserve">Government must </w:t>
      </w:r>
      <w:r w:rsidR="000E1424">
        <w:t xml:space="preserve">set disciplined safety goals for the </w:t>
      </w:r>
      <w:r w:rsidR="00EE21E8">
        <w:t>proposed</w:t>
      </w:r>
      <w:r w:rsidR="000E1424">
        <w:t xml:space="preserve"> </w:t>
      </w:r>
      <w:r w:rsidR="007B60AF">
        <w:t>Major R</w:t>
      </w:r>
      <w:r w:rsidR="000E1424">
        <w:t xml:space="preserve">oad </w:t>
      </w:r>
      <w:r w:rsidR="007B60AF">
        <w:t>N</w:t>
      </w:r>
      <w:r w:rsidR="000E1424">
        <w:t>etwork</w:t>
      </w:r>
      <w:r w:rsidR="00236DD2">
        <w:t xml:space="preserve"> (MRN)</w:t>
      </w:r>
      <w:r w:rsidR="000E1424">
        <w:t xml:space="preserve"> in line with those in place for the strategic road network; and it must release new investment </w:t>
      </w:r>
      <w:r w:rsidR="00EE21E8">
        <w:t xml:space="preserve">through </w:t>
      </w:r>
      <w:r w:rsidR="000E1424">
        <w:t>the successful Safer Road Fund to address 75 persistently higher risk roads.</w:t>
      </w:r>
    </w:p>
    <w:p w:rsidR="00AF4A0D" w:rsidRDefault="00AF4A0D" w:rsidP="00894889"/>
    <w:p w:rsidR="00894889" w:rsidRPr="007B60AF" w:rsidRDefault="007B60AF" w:rsidP="00894889">
      <w:r w:rsidRPr="007B60AF">
        <w:t>Summary of findings</w:t>
      </w:r>
      <w:r w:rsidR="00894889" w:rsidRPr="007B60AF">
        <w:t>:</w:t>
      </w:r>
    </w:p>
    <w:p w:rsidR="00BA6E43" w:rsidRPr="00B97271" w:rsidRDefault="00BA6E43" w:rsidP="00B97271">
      <w:pPr>
        <w:pStyle w:val="ListParagraph"/>
        <w:numPr>
          <w:ilvl w:val="0"/>
          <w:numId w:val="3"/>
        </w:numPr>
        <w:rPr>
          <w:rFonts w:ascii="Verdana" w:hAnsi="Verdana"/>
          <w:sz w:val="20"/>
          <w:szCs w:val="20"/>
        </w:rPr>
      </w:pPr>
      <w:r w:rsidRPr="00B97271">
        <w:rPr>
          <w:rFonts w:ascii="Verdana" w:hAnsi="Verdana"/>
          <w:sz w:val="20"/>
          <w:szCs w:val="20"/>
        </w:rPr>
        <w:t>60% of all deaths are concentrated on the 12.5% of road length surveyed</w:t>
      </w:r>
    </w:p>
    <w:p w:rsidR="00BC5DEF" w:rsidRDefault="007B60AF" w:rsidP="00BC5DEF">
      <w:pPr>
        <w:pStyle w:val="ListParagraph"/>
        <w:numPr>
          <w:ilvl w:val="0"/>
          <w:numId w:val="3"/>
        </w:numPr>
        <w:rPr>
          <w:rFonts w:ascii="Verdana" w:hAnsi="Verdana"/>
          <w:sz w:val="20"/>
          <w:szCs w:val="20"/>
        </w:rPr>
      </w:pPr>
      <w:r>
        <w:rPr>
          <w:rFonts w:ascii="Verdana" w:hAnsi="Verdana"/>
          <w:sz w:val="20"/>
          <w:szCs w:val="20"/>
        </w:rPr>
        <w:t>T</w:t>
      </w:r>
      <w:r w:rsidR="00BC5DEF">
        <w:rPr>
          <w:rFonts w:ascii="Verdana" w:hAnsi="Verdana"/>
          <w:sz w:val="20"/>
          <w:szCs w:val="20"/>
        </w:rPr>
        <w:t xml:space="preserve">he </w:t>
      </w:r>
      <w:r w:rsidR="00BC5DEF" w:rsidRPr="00BC5DEF">
        <w:rPr>
          <w:rFonts w:ascii="Verdana" w:hAnsi="Verdana"/>
          <w:sz w:val="20"/>
          <w:szCs w:val="20"/>
        </w:rPr>
        <w:t xml:space="preserve">newly defined </w:t>
      </w:r>
      <w:r>
        <w:rPr>
          <w:rFonts w:ascii="Verdana" w:hAnsi="Verdana"/>
          <w:sz w:val="20"/>
          <w:szCs w:val="20"/>
        </w:rPr>
        <w:t>M</w:t>
      </w:r>
      <w:r w:rsidR="00236DD2">
        <w:rPr>
          <w:rFonts w:ascii="Verdana" w:hAnsi="Verdana"/>
          <w:sz w:val="20"/>
          <w:szCs w:val="20"/>
        </w:rPr>
        <w:t>RN</w:t>
      </w:r>
      <w:r w:rsidR="00BC5DEF" w:rsidRPr="00BC5DEF">
        <w:rPr>
          <w:rFonts w:ascii="Verdana" w:hAnsi="Verdana"/>
          <w:sz w:val="20"/>
          <w:szCs w:val="20"/>
        </w:rPr>
        <w:t xml:space="preserve"> </w:t>
      </w:r>
      <w:r w:rsidR="00BC5DEF">
        <w:rPr>
          <w:rFonts w:ascii="Verdana" w:hAnsi="Verdana"/>
          <w:sz w:val="20"/>
          <w:szCs w:val="20"/>
        </w:rPr>
        <w:t xml:space="preserve">has </w:t>
      </w:r>
      <w:r w:rsidR="00BC5DEF" w:rsidRPr="00BC5DEF">
        <w:rPr>
          <w:rFonts w:ascii="Verdana" w:hAnsi="Verdana"/>
          <w:sz w:val="20"/>
          <w:szCs w:val="20"/>
        </w:rPr>
        <w:t xml:space="preserve">more than four times as much risk as Highways England’s network </w:t>
      </w:r>
      <w:r w:rsidR="00BC5DEF">
        <w:rPr>
          <w:rFonts w:ascii="Verdana" w:hAnsi="Verdana"/>
          <w:sz w:val="20"/>
          <w:szCs w:val="20"/>
        </w:rPr>
        <w:t xml:space="preserve">and </w:t>
      </w:r>
      <w:r w:rsidR="00BC5DEF" w:rsidRPr="00BC5DEF">
        <w:rPr>
          <w:rFonts w:ascii="Verdana" w:hAnsi="Verdana"/>
          <w:sz w:val="20"/>
          <w:szCs w:val="20"/>
        </w:rPr>
        <w:t xml:space="preserve">needs </w:t>
      </w:r>
      <w:r w:rsidR="00BC5DEF">
        <w:rPr>
          <w:rFonts w:ascii="Verdana" w:hAnsi="Verdana"/>
          <w:sz w:val="20"/>
          <w:szCs w:val="20"/>
        </w:rPr>
        <w:t xml:space="preserve">similar </w:t>
      </w:r>
      <w:r w:rsidR="00BC5DEF" w:rsidRPr="00BC5DEF">
        <w:rPr>
          <w:rFonts w:ascii="Verdana" w:hAnsi="Verdana"/>
          <w:sz w:val="20"/>
          <w:szCs w:val="20"/>
        </w:rPr>
        <w:t>disciplined safety goals</w:t>
      </w:r>
      <w:r w:rsidR="00BC5DEF">
        <w:rPr>
          <w:rFonts w:ascii="Verdana" w:hAnsi="Verdana"/>
          <w:sz w:val="20"/>
          <w:szCs w:val="20"/>
        </w:rPr>
        <w:t xml:space="preserve"> as both are to be funded directly through Vehicle Excise Duty</w:t>
      </w:r>
      <w:r w:rsidR="00BC5DEF" w:rsidRPr="00BC5DEF">
        <w:rPr>
          <w:rFonts w:ascii="Verdana" w:hAnsi="Verdana"/>
          <w:sz w:val="20"/>
          <w:szCs w:val="20"/>
        </w:rPr>
        <w:t xml:space="preserve"> </w:t>
      </w:r>
    </w:p>
    <w:p w:rsidR="00EE21E8" w:rsidRDefault="00EE21E8" w:rsidP="00EE21E8">
      <w:pPr>
        <w:pStyle w:val="ListParagraph"/>
        <w:numPr>
          <w:ilvl w:val="0"/>
          <w:numId w:val="3"/>
        </w:numPr>
        <w:rPr>
          <w:rFonts w:ascii="Verdana" w:hAnsi="Verdana"/>
          <w:sz w:val="20"/>
          <w:szCs w:val="20"/>
        </w:rPr>
      </w:pPr>
      <w:r>
        <w:rPr>
          <w:rFonts w:ascii="Verdana" w:hAnsi="Verdana"/>
          <w:sz w:val="20"/>
          <w:szCs w:val="20"/>
        </w:rPr>
        <w:t xml:space="preserve">75 persistently higher risk road sections are not yet being addressed through the Safer Roads Fund, including </w:t>
      </w:r>
      <w:r w:rsidR="00236DD2">
        <w:rPr>
          <w:rFonts w:ascii="Verdana" w:hAnsi="Verdana"/>
          <w:sz w:val="20"/>
          <w:szCs w:val="20"/>
        </w:rPr>
        <w:t xml:space="preserve">seven </w:t>
      </w:r>
      <w:r>
        <w:rPr>
          <w:rFonts w:ascii="Verdana" w:hAnsi="Verdana"/>
          <w:sz w:val="20"/>
          <w:szCs w:val="20"/>
        </w:rPr>
        <w:t>of those in the top 10 persistently higher risk rural roads</w:t>
      </w:r>
    </w:p>
    <w:p w:rsidR="00BA6E43" w:rsidRPr="00B97271" w:rsidRDefault="006036BC" w:rsidP="00B97271">
      <w:pPr>
        <w:pStyle w:val="ListParagraph"/>
        <w:numPr>
          <w:ilvl w:val="0"/>
          <w:numId w:val="3"/>
        </w:numPr>
        <w:rPr>
          <w:rFonts w:ascii="Verdana" w:hAnsi="Verdana"/>
          <w:sz w:val="20"/>
          <w:szCs w:val="20"/>
        </w:rPr>
      </w:pPr>
      <w:r>
        <w:rPr>
          <w:rFonts w:ascii="Verdana" w:hAnsi="Verdana"/>
          <w:sz w:val="20"/>
          <w:szCs w:val="20"/>
        </w:rPr>
        <w:t>The report c</w:t>
      </w:r>
      <w:r w:rsidR="00236DD2">
        <w:rPr>
          <w:rFonts w:ascii="Verdana" w:hAnsi="Verdana"/>
          <w:sz w:val="20"/>
          <w:szCs w:val="20"/>
        </w:rPr>
        <w:t>alls for a</w:t>
      </w:r>
      <w:r w:rsidR="00EE21E8">
        <w:rPr>
          <w:rFonts w:ascii="Verdana" w:hAnsi="Verdana"/>
          <w:sz w:val="20"/>
          <w:szCs w:val="20"/>
        </w:rPr>
        <w:t>n immediate</w:t>
      </w:r>
      <w:r w:rsidR="00BA6E43" w:rsidRPr="00B97271">
        <w:rPr>
          <w:rFonts w:ascii="Verdana" w:hAnsi="Verdana"/>
          <w:sz w:val="20"/>
          <w:szCs w:val="20"/>
        </w:rPr>
        <w:t xml:space="preserve"> £1</w:t>
      </w:r>
      <w:r w:rsidR="00AD62D4">
        <w:rPr>
          <w:rFonts w:ascii="Verdana" w:hAnsi="Verdana"/>
          <w:sz w:val="20"/>
          <w:szCs w:val="20"/>
        </w:rPr>
        <w:t>17</w:t>
      </w:r>
      <w:r w:rsidR="00BA6E43" w:rsidRPr="00B97271">
        <w:rPr>
          <w:rFonts w:ascii="Verdana" w:hAnsi="Verdana"/>
          <w:sz w:val="20"/>
          <w:szCs w:val="20"/>
        </w:rPr>
        <w:t xml:space="preserve"> million investment to prevent 3,</w:t>
      </w:r>
      <w:r w:rsidR="00AC1DAD">
        <w:rPr>
          <w:rFonts w:ascii="Verdana" w:hAnsi="Verdana"/>
          <w:sz w:val="20"/>
          <w:szCs w:val="20"/>
        </w:rPr>
        <w:t>4</w:t>
      </w:r>
      <w:r w:rsidR="00EE21E8">
        <w:rPr>
          <w:rFonts w:ascii="Verdana" w:hAnsi="Verdana"/>
          <w:sz w:val="20"/>
          <w:szCs w:val="20"/>
        </w:rPr>
        <w:t>5</w:t>
      </w:r>
      <w:r w:rsidR="00BA6E43" w:rsidRPr="00B97271">
        <w:rPr>
          <w:rFonts w:ascii="Verdana" w:hAnsi="Verdana"/>
          <w:sz w:val="20"/>
          <w:szCs w:val="20"/>
        </w:rPr>
        <w:t xml:space="preserve">0 fatal and serious injuries </w:t>
      </w:r>
      <w:r w:rsidR="00EE21E8">
        <w:rPr>
          <w:rFonts w:ascii="Verdana" w:hAnsi="Verdana"/>
          <w:sz w:val="20"/>
          <w:szCs w:val="20"/>
        </w:rPr>
        <w:t xml:space="preserve">on persistently higher risk roads </w:t>
      </w:r>
      <w:r w:rsidR="00BA6E43" w:rsidRPr="00B97271">
        <w:rPr>
          <w:rFonts w:ascii="Verdana" w:hAnsi="Verdana"/>
          <w:sz w:val="20"/>
          <w:szCs w:val="20"/>
        </w:rPr>
        <w:t>over the next 20 years</w:t>
      </w:r>
    </w:p>
    <w:p w:rsidR="00EE21E8" w:rsidRDefault="006036BC" w:rsidP="00EE21E8">
      <w:pPr>
        <w:pStyle w:val="ListParagraph"/>
        <w:numPr>
          <w:ilvl w:val="0"/>
          <w:numId w:val="3"/>
        </w:numPr>
        <w:rPr>
          <w:rFonts w:ascii="Verdana" w:hAnsi="Verdana"/>
          <w:sz w:val="20"/>
          <w:szCs w:val="20"/>
        </w:rPr>
      </w:pPr>
      <w:r>
        <w:rPr>
          <w:rFonts w:ascii="Verdana" w:hAnsi="Verdana"/>
          <w:sz w:val="20"/>
          <w:szCs w:val="20"/>
        </w:rPr>
        <w:t>A</w:t>
      </w:r>
      <w:r w:rsidR="00EE21E8">
        <w:rPr>
          <w:rFonts w:ascii="Verdana" w:hAnsi="Verdana"/>
          <w:sz w:val="20"/>
          <w:szCs w:val="20"/>
        </w:rPr>
        <w:t xml:space="preserve">n £83 million annual investment </w:t>
      </w:r>
      <w:r>
        <w:rPr>
          <w:rFonts w:ascii="Verdana" w:hAnsi="Verdana"/>
          <w:sz w:val="20"/>
          <w:szCs w:val="20"/>
        </w:rPr>
        <w:t xml:space="preserve">is needed </w:t>
      </w:r>
      <w:r w:rsidR="00EE21E8">
        <w:rPr>
          <w:rFonts w:ascii="Verdana" w:hAnsi="Verdana"/>
          <w:sz w:val="20"/>
          <w:szCs w:val="20"/>
        </w:rPr>
        <w:t>over the next five years to address most of the unacceptably higher risk roads, preventing around 6,850 fatal and serious injuries over the next 20 years</w:t>
      </w:r>
    </w:p>
    <w:p w:rsidR="00B97271" w:rsidRPr="00B97271" w:rsidRDefault="006036BC" w:rsidP="00B97271">
      <w:pPr>
        <w:pStyle w:val="ListParagraph"/>
        <w:numPr>
          <w:ilvl w:val="0"/>
          <w:numId w:val="3"/>
        </w:numPr>
        <w:rPr>
          <w:rFonts w:ascii="Verdana" w:hAnsi="Verdana"/>
          <w:sz w:val="20"/>
          <w:szCs w:val="20"/>
        </w:rPr>
      </w:pPr>
      <w:r>
        <w:rPr>
          <w:rFonts w:ascii="Verdana" w:hAnsi="Verdana"/>
          <w:sz w:val="20"/>
          <w:szCs w:val="20"/>
        </w:rPr>
        <w:t>The report l</w:t>
      </w:r>
      <w:r w:rsidR="00894889" w:rsidRPr="00B97271">
        <w:rPr>
          <w:rFonts w:ascii="Verdana" w:hAnsi="Verdana"/>
          <w:sz w:val="20"/>
          <w:szCs w:val="20"/>
        </w:rPr>
        <w:t>ooks at the safety performance of the individual road networks managed by different authorities which together make up Britain’s main road network</w:t>
      </w:r>
    </w:p>
    <w:p w:rsidR="004B2EDD" w:rsidRDefault="00236DD2" w:rsidP="004B2EDD">
      <w:pPr>
        <w:pStyle w:val="ListParagraph"/>
        <w:numPr>
          <w:ilvl w:val="0"/>
          <w:numId w:val="3"/>
        </w:numPr>
        <w:rPr>
          <w:rFonts w:ascii="Verdana" w:hAnsi="Verdana"/>
          <w:sz w:val="20"/>
          <w:szCs w:val="20"/>
        </w:rPr>
      </w:pPr>
      <w:r>
        <w:rPr>
          <w:rFonts w:ascii="Verdana" w:hAnsi="Verdana"/>
          <w:sz w:val="20"/>
          <w:szCs w:val="20"/>
        </w:rPr>
        <w:t>T</w:t>
      </w:r>
      <w:r w:rsidR="004B2EDD" w:rsidRPr="004B2EDD">
        <w:rPr>
          <w:rFonts w:ascii="Verdana" w:hAnsi="Verdana"/>
          <w:sz w:val="20"/>
          <w:szCs w:val="20"/>
        </w:rPr>
        <w:t xml:space="preserve">he A5004 in Derbyshire </w:t>
      </w:r>
      <w:r>
        <w:rPr>
          <w:rFonts w:ascii="Verdana" w:hAnsi="Verdana"/>
          <w:sz w:val="20"/>
          <w:szCs w:val="20"/>
        </w:rPr>
        <w:t xml:space="preserve">is </w:t>
      </w:r>
      <w:r w:rsidR="006036BC">
        <w:rPr>
          <w:rFonts w:ascii="Verdana" w:hAnsi="Verdana"/>
          <w:sz w:val="20"/>
          <w:szCs w:val="20"/>
        </w:rPr>
        <w:t xml:space="preserve">named </w:t>
      </w:r>
      <w:r w:rsidR="004B2EDD">
        <w:rPr>
          <w:rFonts w:ascii="Verdana" w:hAnsi="Verdana"/>
          <w:sz w:val="20"/>
          <w:szCs w:val="20"/>
        </w:rPr>
        <w:t>the most persistent</w:t>
      </w:r>
      <w:r w:rsidR="00EE21E8">
        <w:rPr>
          <w:rFonts w:ascii="Verdana" w:hAnsi="Verdana"/>
          <w:sz w:val="20"/>
          <w:szCs w:val="20"/>
        </w:rPr>
        <w:t>ly</w:t>
      </w:r>
      <w:r w:rsidR="004B2EDD">
        <w:rPr>
          <w:rFonts w:ascii="Verdana" w:hAnsi="Verdana"/>
          <w:sz w:val="20"/>
          <w:szCs w:val="20"/>
        </w:rPr>
        <w:t xml:space="preserve"> high</w:t>
      </w:r>
      <w:r w:rsidR="00EE21E8">
        <w:rPr>
          <w:rFonts w:ascii="Verdana" w:hAnsi="Verdana"/>
          <w:sz w:val="20"/>
          <w:szCs w:val="20"/>
        </w:rPr>
        <w:t>er</w:t>
      </w:r>
      <w:r w:rsidR="004B2EDD">
        <w:rPr>
          <w:rFonts w:ascii="Verdana" w:hAnsi="Verdana"/>
          <w:sz w:val="20"/>
          <w:szCs w:val="20"/>
        </w:rPr>
        <w:t xml:space="preserve"> risk road </w:t>
      </w:r>
      <w:r w:rsidR="00EE21E8">
        <w:rPr>
          <w:rFonts w:ascii="Verdana" w:hAnsi="Verdana"/>
          <w:sz w:val="20"/>
          <w:szCs w:val="20"/>
        </w:rPr>
        <w:t xml:space="preserve">where </w:t>
      </w:r>
      <w:r>
        <w:rPr>
          <w:rFonts w:ascii="Verdana" w:hAnsi="Verdana"/>
          <w:sz w:val="20"/>
          <w:szCs w:val="20"/>
        </w:rPr>
        <w:t>eight</w:t>
      </w:r>
      <w:r w:rsidR="004B2EDD" w:rsidRPr="004B2EDD">
        <w:rPr>
          <w:rFonts w:ascii="Verdana" w:hAnsi="Verdana"/>
          <w:sz w:val="20"/>
          <w:szCs w:val="20"/>
        </w:rPr>
        <w:t xml:space="preserve"> </w:t>
      </w:r>
      <w:r w:rsidR="00AD62D4">
        <w:rPr>
          <w:rFonts w:ascii="Verdana" w:hAnsi="Verdana"/>
          <w:sz w:val="20"/>
          <w:szCs w:val="20"/>
        </w:rPr>
        <w:t xml:space="preserve">crashes </w:t>
      </w:r>
      <w:r w:rsidR="00EE21E8">
        <w:rPr>
          <w:rFonts w:ascii="Verdana" w:hAnsi="Verdana"/>
          <w:sz w:val="20"/>
          <w:szCs w:val="20"/>
        </w:rPr>
        <w:t xml:space="preserve">that </w:t>
      </w:r>
      <w:r w:rsidR="00AD62D4">
        <w:rPr>
          <w:rFonts w:ascii="Verdana" w:hAnsi="Verdana"/>
          <w:sz w:val="20"/>
          <w:szCs w:val="20"/>
        </w:rPr>
        <w:t>result</w:t>
      </w:r>
      <w:r w:rsidR="00EE21E8">
        <w:rPr>
          <w:rFonts w:ascii="Verdana" w:hAnsi="Verdana"/>
          <w:sz w:val="20"/>
          <w:szCs w:val="20"/>
        </w:rPr>
        <w:t xml:space="preserve">ed </w:t>
      </w:r>
      <w:r w:rsidR="00AD62D4">
        <w:rPr>
          <w:rFonts w:ascii="Verdana" w:hAnsi="Verdana"/>
          <w:sz w:val="20"/>
          <w:szCs w:val="20"/>
        </w:rPr>
        <w:t xml:space="preserve">in </w:t>
      </w:r>
      <w:r w:rsidR="004B2EDD" w:rsidRPr="004B2EDD">
        <w:rPr>
          <w:rFonts w:ascii="Verdana" w:hAnsi="Verdana"/>
          <w:sz w:val="20"/>
          <w:szCs w:val="20"/>
        </w:rPr>
        <w:t xml:space="preserve">death </w:t>
      </w:r>
      <w:r w:rsidR="00AD62D4">
        <w:rPr>
          <w:rFonts w:ascii="Verdana" w:hAnsi="Verdana"/>
          <w:sz w:val="20"/>
          <w:szCs w:val="20"/>
        </w:rPr>
        <w:t xml:space="preserve">or </w:t>
      </w:r>
      <w:r w:rsidR="004B2EDD" w:rsidRPr="004B2EDD">
        <w:rPr>
          <w:rFonts w:ascii="Verdana" w:hAnsi="Verdana"/>
          <w:sz w:val="20"/>
          <w:szCs w:val="20"/>
        </w:rPr>
        <w:t>serious injur</w:t>
      </w:r>
      <w:r w:rsidR="00AD62D4">
        <w:rPr>
          <w:rFonts w:ascii="Verdana" w:hAnsi="Verdana"/>
          <w:sz w:val="20"/>
          <w:szCs w:val="20"/>
        </w:rPr>
        <w:t>y</w:t>
      </w:r>
      <w:r w:rsidR="004B2EDD" w:rsidRPr="004B2EDD">
        <w:rPr>
          <w:rFonts w:ascii="Verdana" w:hAnsi="Verdana"/>
          <w:sz w:val="20"/>
          <w:szCs w:val="20"/>
        </w:rPr>
        <w:t xml:space="preserve"> </w:t>
      </w:r>
      <w:r w:rsidR="00EE21E8">
        <w:rPr>
          <w:rFonts w:ascii="Verdana" w:hAnsi="Verdana"/>
          <w:sz w:val="20"/>
          <w:szCs w:val="20"/>
        </w:rPr>
        <w:t xml:space="preserve">happened in </w:t>
      </w:r>
      <w:r w:rsidR="00AD62D4">
        <w:rPr>
          <w:rFonts w:ascii="Verdana" w:hAnsi="Verdana"/>
          <w:sz w:val="20"/>
          <w:szCs w:val="20"/>
        </w:rPr>
        <w:t xml:space="preserve">three years </w:t>
      </w:r>
      <w:r w:rsidR="004B2EDD" w:rsidRPr="004B2EDD">
        <w:rPr>
          <w:rFonts w:ascii="Verdana" w:hAnsi="Verdana"/>
          <w:sz w:val="20"/>
          <w:szCs w:val="20"/>
        </w:rPr>
        <w:t>on just a 12km stretch of road</w:t>
      </w:r>
    </w:p>
    <w:p w:rsidR="00236DD2" w:rsidRDefault="00236DD2" w:rsidP="00236DD2">
      <w:pPr>
        <w:pStyle w:val="ListParagraph"/>
        <w:numPr>
          <w:ilvl w:val="0"/>
          <w:numId w:val="3"/>
        </w:numPr>
        <w:rPr>
          <w:rFonts w:ascii="Verdana" w:hAnsi="Verdana"/>
          <w:sz w:val="20"/>
          <w:szCs w:val="20"/>
        </w:rPr>
      </w:pPr>
      <w:r>
        <w:rPr>
          <w:rFonts w:ascii="Verdana" w:hAnsi="Verdana"/>
          <w:sz w:val="20"/>
          <w:szCs w:val="20"/>
        </w:rPr>
        <w:t>The most improved road is the A11 b</w:t>
      </w:r>
      <w:r w:rsidRPr="00236DD2">
        <w:rPr>
          <w:rFonts w:ascii="Verdana" w:hAnsi="Verdana"/>
          <w:sz w:val="20"/>
          <w:szCs w:val="20"/>
        </w:rPr>
        <w:t>etween the A14 near Newmarket and the A134 north of Thetford</w:t>
      </w:r>
    </w:p>
    <w:p w:rsidR="00165912" w:rsidRDefault="006036BC" w:rsidP="00165912">
      <w:pPr>
        <w:pStyle w:val="ListParagraph"/>
        <w:numPr>
          <w:ilvl w:val="0"/>
          <w:numId w:val="3"/>
        </w:numPr>
        <w:rPr>
          <w:rFonts w:ascii="Verdana" w:hAnsi="Verdana"/>
          <w:sz w:val="20"/>
          <w:szCs w:val="20"/>
        </w:rPr>
      </w:pPr>
      <w:r>
        <w:rPr>
          <w:rFonts w:ascii="Verdana" w:hAnsi="Verdana"/>
          <w:sz w:val="20"/>
          <w:szCs w:val="20"/>
        </w:rPr>
        <w:t>The report t</w:t>
      </w:r>
      <w:r w:rsidR="00165912" w:rsidRPr="00B97271">
        <w:rPr>
          <w:rFonts w:ascii="Verdana" w:hAnsi="Verdana"/>
          <w:sz w:val="20"/>
          <w:szCs w:val="20"/>
        </w:rPr>
        <w:t>akes the first steps in analysing risk on urban main roads</w:t>
      </w:r>
    </w:p>
    <w:p w:rsidR="00236DD2" w:rsidRPr="00165912" w:rsidRDefault="00236DD2" w:rsidP="00236DD2">
      <w:pPr>
        <w:pStyle w:val="ListParagraph"/>
        <w:numPr>
          <w:ilvl w:val="0"/>
          <w:numId w:val="3"/>
        </w:numPr>
        <w:rPr>
          <w:rFonts w:ascii="Verdana" w:hAnsi="Verdana"/>
          <w:sz w:val="20"/>
          <w:szCs w:val="20"/>
        </w:rPr>
      </w:pPr>
      <w:r>
        <w:rPr>
          <w:rFonts w:ascii="Verdana" w:hAnsi="Verdana"/>
          <w:sz w:val="20"/>
          <w:szCs w:val="20"/>
        </w:rPr>
        <w:t xml:space="preserve">The latest data is now available online for the public to check the roads in their areas via an </w:t>
      </w:r>
      <w:hyperlink r:id="rId10" w:history="1">
        <w:r w:rsidRPr="007A0A4E">
          <w:rPr>
            <w:rStyle w:val="Hyperlink"/>
            <w:rFonts w:ascii="Verdana" w:hAnsi="Verdana"/>
            <w:sz w:val="20"/>
            <w:szCs w:val="20"/>
          </w:rPr>
          <w:t>interactive map</w:t>
        </w:r>
      </w:hyperlink>
    </w:p>
    <w:p w:rsidR="005D2F8A" w:rsidRPr="00B97271" w:rsidRDefault="005D2F8A" w:rsidP="00AD62D4">
      <w:pPr>
        <w:pStyle w:val="ListParagraph"/>
        <w:rPr>
          <w:rFonts w:ascii="Verdana" w:hAnsi="Verdana"/>
          <w:sz w:val="20"/>
          <w:szCs w:val="20"/>
        </w:rPr>
      </w:pPr>
    </w:p>
    <w:p w:rsidR="00165912" w:rsidRDefault="00165912" w:rsidP="00A61DFE">
      <w:r>
        <w:t xml:space="preserve">Analysis of the measurements and targets in place among the authorities that manage the roads covered by the Foundation’s report shows a </w:t>
      </w:r>
      <w:r w:rsidR="005A7AB2">
        <w:t xml:space="preserve">patchwork </w:t>
      </w:r>
      <w:r>
        <w:t>approach to tackling death and serious injur</w:t>
      </w:r>
      <w:r w:rsidR="00EE21E8">
        <w:t>y</w:t>
      </w:r>
      <w:r>
        <w:t>. Just one authority – Highways England – has a specific commitment relating to the measurable safety performance of its road infras</w:t>
      </w:r>
      <w:r w:rsidRPr="00775317">
        <w:t>tructure</w:t>
      </w:r>
      <w:r>
        <w:t>.</w:t>
      </w:r>
    </w:p>
    <w:p w:rsidR="00D61933" w:rsidRDefault="00D61933" w:rsidP="00540D0F"/>
    <w:p w:rsidR="00C86FE5" w:rsidRDefault="00C86FE5" w:rsidP="000B42DB">
      <w:bookmarkStart w:id="0" w:name="_Hlk10195000"/>
    </w:p>
    <w:tbl>
      <w:tblPr>
        <w:tblStyle w:val="TableGrid"/>
        <w:tblW w:w="9070" w:type="dxa"/>
        <w:tblLook w:val="04A0" w:firstRow="1" w:lastRow="0" w:firstColumn="1" w:lastColumn="0" w:noHBand="0" w:noVBand="1"/>
      </w:tblPr>
      <w:tblGrid>
        <w:gridCol w:w="1956"/>
        <w:gridCol w:w="3557"/>
        <w:gridCol w:w="3557"/>
      </w:tblGrid>
      <w:tr w:rsidR="000B42DB" w:rsidRPr="000D708B" w:rsidTr="000D708B">
        <w:trPr>
          <w:trHeight w:val="223"/>
        </w:trPr>
        <w:tc>
          <w:tcPr>
            <w:tcW w:w="1956" w:type="dxa"/>
          </w:tcPr>
          <w:bookmarkEnd w:id="0"/>
          <w:p w:rsidR="000B42DB" w:rsidRPr="000D708B" w:rsidRDefault="000B42DB" w:rsidP="004C7FCE">
            <w:pPr>
              <w:keepNext/>
              <w:rPr>
                <w:b/>
                <w:sz w:val="16"/>
                <w:szCs w:val="16"/>
              </w:rPr>
            </w:pPr>
            <w:r w:rsidRPr="000D708B">
              <w:rPr>
                <w:b/>
                <w:sz w:val="16"/>
                <w:szCs w:val="16"/>
              </w:rPr>
              <w:lastRenderedPageBreak/>
              <w:t>Network</w:t>
            </w:r>
          </w:p>
        </w:tc>
        <w:tc>
          <w:tcPr>
            <w:tcW w:w="3557" w:type="dxa"/>
          </w:tcPr>
          <w:p w:rsidR="000B42DB" w:rsidRPr="000D708B" w:rsidRDefault="000B42DB" w:rsidP="004C7FCE">
            <w:pPr>
              <w:keepNext/>
              <w:rPr>
                <w:b/>
                <w:sz w:val="16"/>
                <w:szCs w:val="16"/>
              </w:rPr>
            </w:pPr>
            <w:r w:rsidRPr="000D708B">
              <w:rPr>
                <w:b/>
                <w:sz w:val="16"/>
                <w:szCs w:val="16"/>
              </w:rPr>
              <w:t>Fatality reduction target</w:t>
            </w:r>
          </w:p>
        </w:tc>
        <w:tc>
          <w:tcPr>
            <w:tcW w:w="3557" w:type="dxa"/>
          </w:tcPr>
          <w:p w:rsidR="000B42DB" w:rsidRPr="000D708B" w:rsidRDefault="000B42DB" w:rsidP="004C7FCE">
            <w:pPr>
              <w:keepNext/>
              <w:rPr>
                <w:b/>
                <w:sz w:val="16"/>
                <w:szCs w:val="16"/>
              </w:rPr>
            </w:pPr>
            <w:r w:rsidRPr="000D708B">
              <w:rPr>
                <w:b/>
                <w:sz w:val="16"/>
                <w:szCs w:val="16"/>
              </w:rPr>
              <w:t>Long term vision</w:t>
            </w:r>
          </w:p>
        </w:tc>
      </w:tr>
      <w:tr w:rsidR="000B42DB" w:rsidRPr="000D708B" w:rsidTr="000D708B">
        <w:trPr>
          <w:trHeight w:val="445"/>
        </w:trPr>
        <w:tc>
          <w:tcPr>
            <w:tcW w:w="1956" w:type="dxa"/>
          </w:tcPr>
          <w:p w:rsidR="000B42DB" w:rsidRPr="000D708B" w:rsidRDefault="000B42DB" w:rsidP="004C7FCE">
            <w:pPr>
              <w:keepNext/>
              <w:rPr>
                <w:sz w:val="16"/>
                <w:szCs w:val="16"/>
              </w:rPr>
            </w:pPr>
            <w:r w:rsidRPr="000D708B">
              <w:rPr>
                <w:sz w:val="16"/>
                <w:szCs w:val="16"/>
              </w:rPr>
              <w:t>English S</w:t>
            </w:r>
            <w:r w:rsidR="00C86FE5">
              <w:rPr>
                <w:sz w:val="16"/>
                <w:szCs w:val="16"/>
              </w:rPr>
              <w:t>trategic Road Network (S</w:t>
            </w:r>
            <w:r w:rsidRPr="000D708B">
              <w:rPr>
                <w:sz w:val="16"/>
                <w:szCs w:val="16"/>
              </w:rPr>
              <w:t>RN</w:t>
            </w:r>
            <w:r w:rsidR="00C86FE5">
              <w:rPr>
                <w:sz w:val="16"/>
                <w:szCs w:val="16"/>
              </w:rPr>
              <w:t>)</w:t>
            </w:r>
          </w:p>
        </w:tc>
        <w:tc>
          <w:tcPr>
            <w:tcW w:w="3557" w:type="dxa"/>
          </w:tcPr>
          <w:p w:rsidR="000B42DB" w:rsidRDefault="000B42DB" w:rsidP="004C7FCE">
            <w:pPr>
              <w:keepNext/>
              <w:rPr>
                <w:sz w:val="16"/>
                <w:szCs w:val="16"/>
              </w:rPr>
            </w:pPr>
            <w:r w:rsidRPr="000D708B">
              <w:rPr>
                <w:sz w:val="16"/>
                <w:szCs w:val="16"/>
              </w:rPr>
              <w:t>40% reduction in killed or seriously injured</w:t>
            </w:r>
            <w:r w:rsidR="00D64CD0">
              <w:rPr>
                <w:sz w:val="16"/>
                <w:szCs w:val="16"/>
              </w:rPr>
              <w:t>,</w:t>
            </w:r>
            <w:r w:rsidRPr="000D708B">
              <w:rPr>
                <w:sz w:val="16"/>
                <w:szCs w:val="16"/>
              </w:rPr>
              <w:t xml:space="preserve"> against the 2005-09 average baseline by 2020.</w:t>
            </w:r>
          </w:p>
          <w:p w:rsidR="00490F84" w:rsidRPr="000D708B" w:rsidRDefault="00490F84" w:rsidP="004C7FCE">
            <w:pPr>
              <w:keepNext/>
              <w:rPr>
                <w:sz w:val="16"/>
                <w:szCs w:val="16"/>
              </w:rPr>
            </w:pPr>
            <w:r>
              <w:rPr>
                <w:sz w:val="16"/>
                <w:szCs w:val="16"/>
              </w:rPr>
              <w:t>B</w:t>
            </w:r>
            <w:r w:rsidRPr="00490F84">
              <w:rPr>
                <w:sz w:val="16"/>
                <w:szCs w:val="16"/>
              </w:rPr>
              <w:t>y 2020, 90% of travel will be on 3-star roads or above</w:t>
            </w:r>
          </w:p>
        </w:tc>
        <w:tc>
          <w:tcPr>
            <w:tcW w:w="3557" w:type="dxa"/>
          </w:tcPr>
          <w:p w:rsidR="000B42DB" w:rsidRPr="000D708B" w:rsidRDefault="000B42DB" w:rsidP="004C7FCE">
            <w:pPr>
              <w:keepNext/>
              <w:rPr>
                <w:sz w:val="16"/>
                <w:szCs w:val="16"/>
              </w:rPr>
            </w:pPr>
            <w:r w:rsidRPr="000D708B">
              <w:rPr>
                <w:sz w:val="16"/>
                <w:szCs w:val="16"/>
              </w:rPr>
              <w:t>Close as possible to zero harm by 2040</w:t>
            </w:r>
          </w:p>
        </w:tc>
      </w:tr>
      <w:tr w:rsidR="000B42DB" w:rsidRPr="000D708B" w:rsidTr="000D708B">
        <w:trPr>
          <w:trHeight w:val="223"/>
        </w:trPr>
        <w:tc>
          <w:tcPr>
            <w:tcW w:w="1956" w:type="dxa"/>
          </w:tcPr>
          <w:p w:rsidR="000B42DB" w:rsidRPr="000D708B" w:rsidRDefault="000B42DB" w:rsidP="000D708B">
            <w:pPr>
              <w:rPr>
                <w:sz w:val="16"/>
                <w:szCs w:val="16"/>
              </w:rPr>
            </w:pPr>
            <w:r w:rsidRPr="000D708B">
              <w:rPr>
                <w:sz w:val="16"/>
                <w:szCs w:val="16"/>
              </w:rPr>
              <w:t xml:space="preserve">English </w:t>
            </w:r>
            <w:r w:rsidR="00C86FE5">
              <w:rPr>
                <w:sz w:val="16"/>
                <w:szCs w:val="16"/>
              </w:rPr>
              <w:t>Major Road Network (</w:t>
            </w:r>
            <w:r w:rsidRPr="000D708B">
              <w:rPr>
                <w:sz w:val="16"/>
                <w:szCs w:val="16"/>
              </w:rPr>
              <w:t>MRN</w:t>
            </w:r>
            <w:r w:rsidR="00C86FE5">
              <w:rPr>
                <w:sz w:val="16"/>
                <w:szCs w:val="16"/>
              </w:rPr>
              <w:t>)</w:t>
            </w:r>
          </w:p>
        </w:tc>
        <w:tc>
          <w:tcPr>
            <w:tcW w:w="3557" w:type="dxa"/>
          </w:tcPr>
          <w:p w:rsidR="000B42DB" w:rsidRPr="000D708B" w:rsidRDefault="000B42DB" w:rsidP="000D708B">
            <w:pPr>
              <w:rPr>
                <w:sz w:val="16"/>
                <w:szCs w:val="16"/>
              </w:rPr>
            </w:pPr>
            <w:r w:rsidRPr="000D708B">
              <w:rPr>
                <w:sz w:val="16"/>
                <w:szCs w:val="16"/>
              </w:rPr>
              <w:t>None</w:t>
            </w:r>
          </w:p>
        </w:tc>
        <w:tc>
          <w:tcPr>
            <w:tcW w:w="3557" w:type="dxa"/>
          </w:tcPr>
          <w:p w:rsidR="000B42DB" w:rsidRPr="000D708B" w:rsidRDefault="000B42DB" w:rsidP="000D708B">
            <w:pPr>
              <w:rPr>
                <w:sz w:val="16"/>
                <w:szCs w:val="16"/>
              </w:rPr>
            </w:pPr>
            <w:r w:rsidRPr="000D708B">
              <w:rPr>
                <w:sz w:val="16"/>
                <w:szCs w:val="16"/>
              </w:rPr>
              <w:t>None</w:t>
            </w:r>
          </w:p>
        </w:tc>
      </w:tr>
      <w:tr w:rsidR="000B42DB" w:rsidRPr="000D708B" w:rsidTr="000D708B">
        <w:trPr>
          <w:trHeight w:val="457"/>
        </w:trPr>
        <w:tc>
          <w:tcPr>
            <w:tcW w:w="1956" w:type="dxa"/>
          </w:tcPr>
          <w:p w:rsidR="000B42DB" w:rsidRPr="000D708B" w:rsidRDefault="000B42DB" w:rsidP="000D708B">
            <w:pPr>
              <w:rPr>
                <w:sz w:val="16"/>
                <w:szCs w:val="16"/>
              </w:rPr>
            </w:pPr>
            <w:r w:rsidRPr="000D708B">
              <w:rPr>
                <w:sz w:val="16"/>
                <w:szCs w:val="16"/>
              </w:rPr>
              <w:t>English non-MRN local roads excluding TLRN</w:t>
            </w:r>
          </w:p>
        </w:tc>
        <w:tc>
          <w:tcPr>
            <w:tcW w:w="3557" w:type="dxa"/>
          </w:tcPr>
          <w:p w:rsidR="000B42DB" w:rsidRPr="000D708B" w:rsidRDefault="00AC1DAD" w:rsidP="00AC1DAD">
            <w:pPr>
              <w:rPr>
                <w:sz w:val="16"/>
                <w:szCs w:val="16"/>
              </w:rPr>
            </w:pPr>
            <w:r>
              <w:rPr>
                <w:sz w:val="16"/>
                <w:szCs w:val="16"/>
              </w:rPr>
              <w:t>A few l</w:t>
            </w:r>
            <w:r w:rsidR="000B42DB" w:rsidRPr="000D708B">
              <w:rPr>
                <w:sz w:val="16"/>
                <w:szCs w:val="16"/>
              </w:rPr>
              <w:t xml:space="preserve">ocal </w:t>
            </w:r>
            <w:r>
              <w:rPr>
                <w:sz w:val="16"/>
                <w:szCs w:val="16"/>
              </w:rPr>
              <w:t>a</w:t>
            </w:r>
            <w:r w:rsidR="000B42DB" w:rsidRPr="000D708B">
              <w:rPr>
                <w:sz w:val="16"/>
                <w:szCs w:val="16"/>
              </w:rPr>
              <w:t>uthorities have adopted a casualty reduction target</w:t>
            </w:r>
          </w:p>
        </w:tc>
        <w:tc>
          <w:tcPr>
            <w:tcW w:w="3557" w:type="dxa"/>
          </w:tcPr>
          <w:p w:rsidR="000B42DB" w:rsidRPr="000D708B" w:rsidRDefault="00AC1DAD" w:rsidP="00AC1DAD">
            <w:pPr>
              <w:rPr>
                <w:sz w:val="16"/>
                <w:szCs w:val="16"/>
              </w:rPr>
            </w:pPr>
            <w:r>
              <w:rPr>
                <w:sz w:val="16"/>
                <w:szCs w:val="16"/>
              </w:rPr>
              <w:t>A few l</w:t>
            </w:r>
            <w:r w:rsidR="000B42DB" w:rsidRPr="000D708B">
              <w:rPr>
                <w:sz w:val="16"/>
                <w:szCs w:val="16"/>
              </w:rPr>
              <w:t xml:space="preserve">ocal </w:t>
            </w:r>
            <w:r>
              <w:rPr>
                <w:sz w:val="16"/>
                <w:szCs w:val="16"/>
              </w:rPr>
              <w:t>a</w:t>
            </w:r>
            <w:r w:rsidR="000B42DB" w:rsidRPr="000D708B">
              <w:rPr>
                <w:sz w:val="16"/>
                <w:szCs w:val="16"/>
              </w:rPr>
              <w:t>uthorities have started to move towards Safe Systems/Vision Zero</w:t>
            </w:r>
          </w:p>
        </w:tc>
      </w:tr>
      <w:tr w:rsidR="000B42DB" w:rsidRPr="000D708B" w:rsidTr="000D708B">
        <w:trPr>
          <w:trHeight w:val="445"/>
        </w:trPr>
        <w:tc>
          <w:tcPr>
            <w:tcW w:w="1956" w:type="dxa"/>
          </w:tcPr>
          <w:p w:rsidR="000B42DB" w:rsidRPr="000D708B" w:rsidRDefault="000B42DB" w:rsidP="000D708B">
            <w:pPr>
              <w:rPr>
                <w:sz w:val="16"/>
                <w:szCs w:val="16"/>
              </w:rPr>
            </w:pPr>
            <w:r w:rsidRPr="000D708B">
              <w:rPr>
                <w:sz w:val="16"/>
                <w:szCs w:val="16"/>
              </w:rPr>
              <w:t>Transport for London (TLRN)</w:t>
            </w:r>
          </w:p>
        </w:tc>
        <w:tc>
          <w:tcPr>
            <w:tcW w:w="3557" w:type="dxa"/>
          </w:tcPr>
          <w:p w:rsidR="000B42DB" w:rsidRPr="000D708B" w:rsidRDefault="000B42DB" w:rsidP="000D708B">
            <w:pPr>
              <w:rPr>
                <w:sz w:val="16"/>
                <w:szCs w:val="16"/>
              </w:rPr>
            </w:pPr>
            <w:r w:rsidRPr="000D708B">
              <w:rPr>
                <w:sz w:val="16"/>
                <w:szCs w:val="16"/>
              </w:rPr>
              <w:t>65% fewer killed or seriously injured than 2005-09 baseline by 2022</w:t>
            </w:r>
          </w:p>
        </w:tc>
        <w:tc>
          <w:tcPr>
            <w:tcW w:w="3557" w:type="dxa"/>
          </w:tcPr>
          <w:p w:rsidR="000B42DB" w:rsidRPr="000D708B" w:rsidRDefault="000B42DB" w:rsidP="000D708B">
            <w:pPr>
              <w:rPr>
                <w:sz w:val="16"/>
                <w:szCs w:val="16"/>
              </w:rPr>
            </w:pPr>
            <w:r w:rsidRPr="000D708B">
              <w:rPr>
                <w:sz w:val="16"/>
                <w:szCs w:val="16"/>
              </w:rPr>
              <w:t>By 2041 all fatal and serious injuries will be eliminated</w:t>
            </w:r>
          </w:p>
        </w:tc>
      </w:tr>
      <w:tr w:rsidR="000B42DB" w:rsidRPr="000D708B" w:rsidTr="000D708B">
        <w:trPr>
          <w:trHeight w:val="234"/>
        </w:trPr>
        <w:tc>
          <w:tcPr>
            <w:tcW w:w="1956" w:type="dxa"/>
          </w:tcPr>
          <w:p w:rsidR="000B42DB" w:rsidRPr="000D708B" w:rsidRDefault="000B42DB" w:rsidP="000D708B">
            <w:pPr>
              <w:rPr>
                <w:sz w:val="16"/>
                <w:szCs w:val="16"/>
              </w:rPr>
            </w:pPr>
            <w:r w:rsidRPr="000D708B">
              <w:rPr>
                <w:sz w:val="16"/>
                <w:szCs w:val="16"/>
              </w:rPr>
              <w:t xml:space="preserve">Scottish strategic </w:t>
            </w:r>
          </w:p>
        </w:tc>
        <w:tc>
          <w:tcPr>
            <w:tcW w:w="3557" w:type="dxa"/>
          </w:tcPr>
          <w:p w:rsidR="000B42DB" w:rsidRPr="000D708B" w:rsidRDefault="000B42DB" w:rsidP="000D708B">
            <w:pPr>
              <w:rPr>
                <w:sz w:val="16"/>
                <w:szCs w:val="16"/>
              </w:rPr>
            </w:pPr>
            <w:r w:rsidRPr="000D708B">
              <w:rPr>
                <w:sz w:val="16"/>
                <w:szCs w:val="16"/>
              </w:rPr>
              <w:t>40% reduction from 2010 baseline by 2020</w:t>
            </w:r>
          </w:p>
        </w:tc>
        <w:tc>
          <w:tcPr>
            <w:tcW w:w="3557" w:type="dxa"/>
            <w:vMerge w:val="restart"/>
          </w:tcPr>
          <w:p w:rsidR="000B42DB" w:rsidRPr="000D708B" w:rsidRDefault="000B42DB" w:rsidP="000D708B">
            <w:pPr>
              <w:rPr>
                <w:sz w:val="16"/>
                <w:szCs w:val="16"/>
              </w:rPr>
            </w:pPr>
            <w:r w:rsidRPr="000D708B">
              <w:rPr>
                <w:sz w:val="16"/>
                <w:szCs w:val="16"/>
              </w:rPr>
              <w:t>A steady reduction in the numbers of those killed and those seriously injured, with the ultimate vision of a future where no-one is killed on Scotland’s roads, and the injury rate is much reduced (timescale not specified)</w:t>
            </w:r>
          </w:p>
        </w:tc>
      </w:tr>
      <w:tr w:rsidR="000B42DB" w:rsidRPr="000D708B" w:rsidTr="000D708B">
        <w:trPr>
          <w:trHeight w:val="890"/>
        </w:trPr>
        <w:tc>
          <w:tcPr>
            <w:tcW w:w="1956" w:type="dxa"/>
          </w:tcPr>
          <w:p w:rsidR="000B42DB" w:rsidRPr="000D708B" w:rsidRDefault="000B42DB" w:rsidP="000D708B">
            <w:pPr>
              <w:rPr>
                <w:sz w:val="16"/>
                <w:szCs w:val="16"/>
              </w:rPr>
            </w:pPr>
            <w:r w:rsidRPr="000D708B">
              <w:rPr>
                <w:sz w:val="16"/>
                <w:szCs w:val="16"/>
              </w:rPr>
              <w:t>Scottish local</w:t>
            </w:r>
          </w:p>
        </w:tc>
        <w:tc>
          <w:tcPr>
            <w:tcW w:w="3557" w:type="dxa"/>
          </w:tcPr>
          <w:p w:rsidR="000B42DB" w:rsidRPr="000D708B" w:rsidRDefault="000B42DB" w:rsidP="00AC1DAD">
            <w:pPr>
              <w:rPr>
                <w:sz w:val="16"/>
                <w:szCs w:val="16"/>
              </w:rPr>
            </w:pPr>
            <w:r w:rsidRPr="000D708B">
              <w:rPr>
                <w:sz w:val="16"/>
                <w:szCs w:val="16"/>
              </w:rPr>
              <w:t xml:space="preserve">Typically </w:t>
            </w:r>
            <w:r w:rsidR="00AC1DAD">
              <w:rPr>
                <w:sz w:val="16"/>
                <w:szCs w:val="16"/>
              </w:rPr>
              <w:t>local a</w:t>
            </w:r>
            <w:r w:rsidRPr="000D708B">
              <w:rPr>
                <w:sz w:val="16"/>
                <w:szCs w:val="16"/>
              </w:rPr>
              <w:t>uthorities have adopted the national casualty reduction target of 40% reduction from 2010 baseline by 2020</w:t>
            </w:r>
          </w:p>
        </w:tc>
        <w:tc>
          <w:tcPr>
            <w:tcW w:w="3557" w:type="dxa"/>
            <w:vMerge/>
          </w:tcPr>
          <w:p w:rsidR="000B42DB" w:rsidRPr="000D708B" w:rsidRDefault="000B42DB" w:rsidP="000D708B">
            <w:pPr>
              <w:rPr>
                <w:sz w:val="16"/>
                <w:szCs w:val="16"/>
              </w:rPr>
            </w:pPr>
          </w:p>
        </w:tc>
      </w:tr>
      <w:tr w:rsidR="000B42DB" w:rsidRPr="000D708B" w:rsidTr="000D708B">
        <w:trPr>
          <w:trHeight w:val="445"/>
        </w:trPr>
        <w:tc>
          <w:tcPr>
            <w:tcW w:w="1956" w:type="dxa"/>
          </w:tcPr>
          <w:p w:rsidR="000B42DB" w:rsidRPr="000D708B" w:rsidRDefault="000B42DB" w:rsidP="000D708B">
            <w:pPr>
              <w:rPr>
                <w:sz w:val="16"/>
                <w:szCs w:val="16"/>
              </w:rPr>
            </w:pPr>
            <w:r w:rsidRPr="000D708B">
              <w:rPr>
                <w:sz w:val="16"/>
                <w:szCs w:val="16"/>
              </w:rPr>
              <w:t>Welsh strategic</w:t>
            </w:r>
          </w:p>
        </w:tc>
        <w:tc>
          <w:tcPr>
            <w:tcW w:w="3557" w:type="dxa"/>
          </w:tcPr>
          <w:p w:rsidR="000B42DB" w:rsidRPr="000D708B" w:rsidRDefault="000B42DB" w:rsidP="000D708B">
            <w:pPr>
              <w:rPr>
                <w:sz w:val="16"/>
                <w:szCs w:val="16"/>
              </w:rPr>
            </w:pPr>
            <w:r w:rsidRPr="000D708B">
              <w:rPr>
                <w:sz w:val="16"/>
                <w:szCs w:val="16"/>
              </w:rPr>
              <w:t>40% reduction from 2004-08 baseline (844 KSIs) by 2020</w:t>
            </w:r>
          </w:p>
        </w:tc>
        <w:tc>
          <w:tcPr>
            <w:tcW w:w="3557" w:type="dxa"/>
          </w:tcPr>
          <w:p w:rsidR="000B42DB" w:rsidRPr="000D708B" w:rsidRDefault="000B42DB" w:rsidP="000D708B">
            <w:pPr>
              <w:rPr>
                <w:sz w:val="16"/>
                <w:szCs w:val="16"/>
              </w:rPr>
            </w:pPr>
            <w:r w:rsidRPr="000D708B">
              <w:rPr>
                <w:sz w:val="16"/>
                <w:szCs w:val="16"/>
              </w:rPr>
              <w:t>Reaffirmed commitment to vision zero (timescale not specified)</w:t>
            </w:r>
          </w:p>
        </w:tc>
      </w:tr>
      <w:tr w:rsidR="000B42DB" w:rsidRPr="000D708B" w:rsidTr="000D708B">
        <w:trPr>
          <w:trHeight w:val="234"/>
        </w:trPr>
        <w:tc>
          <w:tcPr>
            <w:tcW w:w="1956" w:type="dxa"/>
          </w:tcPr>
          <w:p w:rsidR="000B42DB" w:rsidRPr="000D708B" w:rsidRDefault="000B42DB" w:rsidP="000D708B">
            <w:pPr>
              <w:rPr>
                <w:sz w:val="16"/>
                <w:szCs w:val="16"/>
              </w:rPr>
            </w:pPr>
            <w:r w:rsidRPr="000D708B">
              <w:rPr>
                <w:sz w:val="16"/>
                <w:szCs w:val="16"/>
              </w:rPr>
              <w:t>Welsh local</w:t>
            </w:r>
          </w:p>
        </w:tc>
        <w:tc>
          <w:tcPr>
            <w:tcW w:w="3557" w:type="dxa"/>
          </w:tcPr>
          <w:p w:rsidR="000B42DB" w:rsidRPr="000D708B" w:rsidRDefault="00454D58" w:rsidP="00454D58">
            <w:pPr>
              <w:rPr>
                <w:sz w:val="16"/>
                <w:szCs w:val="16"/>
              </w:rPr>
            </w:pPr>
            <w:r w:rsidRPr="00454D58">
              <w:rPr>
                <w:sz w:val="16"/>
                <w:szCs w:val="16"/>
              </w:rPr>
              <w:t>There are national casualty reduction targets (the same as those for strategic roads) that have been adopted by the Welsh Local Government Association; the extent to which these are adopted at the local level is unknown</w:t>
            </w:r>
          </w:p>
        </w:tc>
        <w:tc>
          <w:tcPr>
            <w:tcW w:w="3557" w:type="dxa"/>
          </w:tcPr>
          <w:p w:rsidR="000B42DB" w:rsidRPr="000D708B" w:rsidRDefault="00454D58" w:rsidP="000D708B">
            <w:pPr>
              <w:rPr>
                <w:sz w:val="16"/>
                <w:szCs w:val="16"/>
              </w:rPr>
            </w:pPr>
            <w:r w:rsidRPr="00454D58">
              <w:rPr>
                <w:sz w:val="16"/>
                <w:szCs w:val="16"/>
              </w:rPr>
              <w:t>Reaffirmed commitment to vision zero (timescale not specified</w:t>
            </w:r>
            <w:r>
              <w:rPr>
                <w:sz w:val="16"/>
                <w:szCs w:val="16"/>
              </w:rPr>
              <w:t>)</w:t>
            </w:r>
          </w:p>
        </w:tc>
      </w:tr>
    </w:tbl>
    <w:p w:rsidR="00490F84" w:rsidRDefault="00490F84" w:rsidP="00C86FE5"/>
    <w:p w:rsidR="00AC10FA" w:rsidRDefault="00AC1DAD" w:rsidP="00C86FE5">
      <w:r>
        <w:t>There is some evidence to suggest that c</w:t>
      </w:r>
      <w:r w:rsidR="00C86FE5">
        <w:t>ountries achieve better casualty reduction when they adopt formal targets to coordinate action.</w:t>
      </w:r>
      <w:r w:rsidR="00AC10FA">
        <w:t xml:space="preserve"> Highways England is the only authority to target both the number of deaths and serious injuries </w:t>
      </w:r>
      <w:r w:rsidR="00AC10FA" w:rsidRPr="00490F84">
        <w:rPr>
          <w:i/>
        </w:rPr>
        <w:t>and</w:t>
      </w:r>
      <w:r w:rsidR="00AC10FA">
        <w:t xml:space="preserve"> the star rating of its network.</w:t>
      </w:r>
      <w:r w:rsidR="00AC10FA" w:rsidRPr="00490F84">
        <w:t xml:space="preserve"> </w:t>
      </w:r>
    </w:p>
    <w:p w:rsidR="00AC10FA" w:rsidRDefault="00AC10FA" w:rsidP="00C86FE5"/>
    <w:p w:rsidR="00C86FE5" w:rsidRPr="005F5812" w:rsidRDefault="00AC10FA" w:rsidP="00C86FE5">
      <w:pPr>
        <w:rPr>
          <w:rFonts w:cs="Arial"/>
          <w:color w:val="000000" w:themeColor="text1"/>
          <w:szCs w:val="22"/>
        </w:rPr>
      </w:pPr>
      <w:r>
        <w:t xml:space="preserve">The report </w:t>
      </w:r>
      <w:r w:rsidR="00C86FE5">
        <w:t xml:space="preserve">recognises the significant improvement in Scotland </w:t>
      </w:r>
      <w:r w:rsidR="009A7961">
        <w:t>(7% reduction in deaths and serious injuries)</w:t>
      </w:r>
      <w:r w:rsidR="00AC1DAD">
        <w:t xml:space="preserve">. Scotland has </w:t>
      </w:r>
      <w:r w:rsidR="00C86FE5">
        <w:t xml:space="preserve">national casualty reduction targets adopted by the Scottish Government </w:t>
      </w:r>
      <w:r>
        <w:t xml:space="preserve">in </w:t>
      </w:r>
      <w:r w:rsidR="00C86FE5">
        <w:t xml:space="preserve">partnership </w:t>
      </w:r>
      <w:r>
        <w:t xml:space="preserve">with </w:t>
      </w:r>
      <w:r w:rsidR="00C86FE5">
        <w:t>all stakeholder</w:t>
      </w:r>
      <w:r>
        <w:t>s</w:t>
      </w:r>
      <w:r w:rsidR="00C86FE5" w:rsidRPr="005F5812">
        <w:rPr>
          <w:color w:val="000000" w:themeColor="text1"/>
        </w:rPr>
        <w:t xml:space="preserve">. </w:t>
      </w:r>
      <w:r w:rsidR="00C86FE5" w:rsidRPr="005F5812">
        <w:rPr>
          <w:rFonts w:cs="Arial"/>
          <w:color w:val="000000" w:themeColor="text1"/>
        </w:rPr>
        <w:t xml:space="preserve">In 2017, Scotland’s performance on its main roads helped its </w:t>
      </w:r>
      <w:r w:rsidR="00C86FE5">
        <w:rPr>
          <w:rFonts w:cs="Arial"/>
          <w:color w:val="000000" w:themeColor="text1"/>
        </w:rPr>
        <w:t>national fatality rate per million population</w:t>
      </w:r>
      <w:r w:rsidR="00C86FE5" w:rsidRPr="005F5812">
        <w:rPr>
          <w:rFonts w:cs="Arial"/>
          <w:color w:val="000000" w:themeColor="text1"/>
        </w:rPr>
        <w:t xml:space="preserve"> to fall to 27 and so, for the first time, below that of England (28).  The per capita rate for Wales was 33.</w:t>
      </w:r>
    </w:p>
    <w:p w:rsidR="00C86FE5" w:rsidRDefault="00C86FE5" w:rsidP="000B42DB"/>
    <w:p w:rsidR="00BA6E43" w:rsidRPr="00BA6E43" w:rsidRDefault="00BA6E43" w:rsidP="00BA6E43">
      <w:pPr>
        <w:rPr>
          <w:b/>
        </w:rPr>
      </w:pPr>
      <w:r w:rsidRPr="00BA6E43">
        <w:rPr>
          <w:b/>
        </w:rPr>
        <w:t>Targeted investment</w:t>
      </w:r>
    </w:p>
    <w:p w:rsidR="00BA6E43" w:rsidRDefault="0097107F" w:rsidP="00BA6E43">
      <w:r w:rsidRPr="000D708B">
        <w:rPr>
          <w:i/>
        </w:rPr>
        <w:t xml:space="preserve">How Safe </w:t>
      </w:r>
      <w:r>
        <w:rPr>
          <w:i/>
        </w:rPr>
        <w:t>A</w:t>
      </w:r>
      <w:r w:rsidRPr="000D708B">
        <w:rPr>
          <w:i/>
        </w:rPr>
        <w:t>re</w:t>
      </w:r>
      <w:r>
        <w:rPr>
          <w:i/>
        </w:rPr>
        <w:t xml:space="preserve"> You </w:t>
      </w:r>
      <w:r w:rsidR="00EE21E8">
        <w:rPr>
          <w:i/>
        </w:rPr>
        <w:t>o</w:t>
      </w:r>
      <w:r>
        <w:rPr>
          <w:i/>
        </w:rPr>
        <w:t>n</w:t>
      </w:r>
      <w:r w:rsidRPr="000D708B">
        <w:rPr>
          <w:i/>
        </w:rPr>
        <w:t xml:space="preserve"> Britain’s </w:t>
      </w:r>
      <w:r>
        <w:rPr>
          <w:i/>
        </w:rPr>
        <w:t xml:space="preserve">Main </w:t>
      </w:r>
      <w:r w:rsidRPr="000D708B">
        <w:rPr>
          <w:i/>
        </w:rPr>
        <w:t>Roads</w:t>
      </w:r>
      <w:r>
        <w:rPr>
          <w:i/>
        </w:rPr>
        <w:t xml:space="preserve"> Networks?</w:t>
      </w:r>
      <w:r w:rsidR="005442DA">
        <w:t xml:space="preserve"> says </w:t>
      </w:r>
      <w:r w:rsidR="00540D0F">
        <w:t xml:space="preserve">there is </w:t>
      </w:r>
      <w:r w:rsidR="005442DA">
        <w:t xml:space="preserve">a clear </w:t>
      </w:r>
      <w:r w:rsidR="005442DA">
        <w:rPr>
          <w:rFonts w:eastAsia="Times New Roman"/>
        </w:rPr>
        <w:t>opportunity to tackle Britain’s persistently high risk local ‘A’ roads through a ne</w:t>
      </w:r>
      <w:r w:rsidR="00540D0F">
        <w:rPr>
          <w:rFonts w:eastAsia="Times New Roman"/>
        </w:rPr>
        <w:t>w</w:t>
      </w:r>
      <w:r w:rsidR="005442DA">
        <w:rPr>
          <w:rFonts w:eastAsia="Times New Roman"/>
        </w:rPr>
        <w:t xml:space="preserve"> tranche of funding from the Safer Roads Fund. It calls for </w:t>
      </w:r>
      <w:r w:rsidR="00BA6E43">
        <w:t>a £1</w:t>
      </w:r>
      <w:r w:rsidR="00AD62D4">
        <w:t>17</w:t>
      </w:r>
      <w:r w:rsidR="00BA6E43">
        <w:t xml:space="preserve"> million investment to prevent </w:t>
      </w:r>
      <w:r w:rsidR="00BA6E43" w:rsidRPr="00B72EB5">
        <w:t>3,</w:t>
      </w:r>
      <w:r w:rsidR="00AD62D4">
        <w:t>4</w:t>
      </w:r>
      <w:r w:rsidR="00EE21E8">
        <w:t>5</w:t>
      </w:r>
      <w:r w:rsidR="00BA6E43">
        <w:t xml:space="preserve">0 </w:t>
      </w:r>
      <w:r w:rsidR="00AC1DAD">
        <w:t>f</w:t>
      </w:r>
      <w:r w:rsidR="00BA6E43">
        <w:t xml:space="preserve">atal and serious injuries </w:t>
      </w:r>
      <w:r w:rsidR="00BA6E43" w:rsidRPr="001B63EA">
        <w:t>over the next 20 years</w:t>
      </w:r>
      <w:r w:rsidR="005442DA">
        <w:t xml:space="preserve">. This would require investment of </w:t>
      </w:r>
      <w:r w:rsidR="00BA6E43" w:rsidRPr="001B63EA">
        <w:t>£1</w:t>
      </w:r>
      <w:r w:rsidR="00EE21E8">
        <w:t>09</w:t>
      </w:r>
      <w:r w:rsidR="00BA6E43" w:rsidRPr="001B63EA">
        <w:t>m in England</w:t>
      </w:r>
      <w:r w:rsidR="00BA6E43">
        <w:t xml:space="preserve"> to prevent 3,</w:t>
      </w:r>
      <w:r w:rsidR="00EE21E8">
        <w:t>350</w:t>
      </w:r>
      <w:r w:rsidR="00BA6E43">
        <w:t xml:space="preserve"> fatal and serious injuries; </w:t>
      </w:r>
      <w:r w:rsidR="00BA6E43" w:rsidRPr="001B63EA">
        <w:t>£6m in Scotland</w:t>
      </w:r>
      <w:r w:rsidR="00BA6E43">
        <w:t xml:space="preserve"> (90 fatal and serious injuries</w:t>
      </w:r>
      <w:r w:rsidR="005442DA">
        <w:t>);</w:t>
      </w:r>
      <w:r w:rsidR="00BA6E43">
        <w:t xml:space="preserve"> </w:t>
      </w:r>
      <w:r w:rsidR="00BA6E43" w:rsidRPr="001B63EA">
        <w:t>and £1m</w:t>
      </w:r>
      <w:r w:rsidR="00BA6E43">
        <w:t xml:space="preserve"> in Wales preventing around 10-15 fatal and serious injuries </w:t>
      </w:r>
      <w:r w:rsidR="005442DA">
        <w:t xml:space="preserve">over </w:t>
      </w:r>
      <w:r w:rsidR="00BA6E43">
        <w:t xml:space="preserve">the same period. </w:t>
      </w:r>
    </w:p>
    <w:p w:rsidR="009E3085" w:rsidRDefault="009E3085" w:rsidP="00BA6E43"/>
    <w:p w:rsidR="00BA6E43" w:rsidRDefault="005442DA" w:rsidP="005442DA">
      <w:r>
        <w:t>The Road Safety Foundation predicts an even higher benefit cost ratio</w:t>
      </w:r>
      <w:r w:rsidR="00AD62D4">
        <w:t xml:space="preserve"> </w:t>
      </w:r>
      <w:r>
        <w:t xml:space="preserve">than the first </w:t>
      </w:r>
      <w:r w:rsidR="00BA6E43">
        <w:t>Safer Roads Fund sections</w:t>
      </w:r>
      <w:r>
        <w:t xml:space="preserve">, </w:t>
      </w:r>
      <w:r w:rsidR="00BA6E43">
        <w:t>pay</w:t>
      </w:r>
      <w:r>
        <w:t>ing</w:t>
      </w:r>
      <w:r w:rsidR="00BA6E43">
        <w:t xml:space="preserve"> back to society their costs more than 5 times over.</w:t>
      </w:r>
    </w:p>
    <w:p w:rsidR="00EE21E8" w:rsidRDefault="00EE21E8" w:rsidP="00C15CB7"/>
    <w:p w:rsidR="00EE21E8" w:rsidRDefault="00EE21E8" w:rsidP="00EE21E8">
      <w:r>
        <w:rPr>
          <w:i/>
        </w:rPr>
        <w:t>How Safe Are You on Britain’s Main Road Networks?</w:t>
      </w:r>
      <w:r>
        <w:t xml:space="preserve"> also identifies a clear </w:t>
      </w:r>
      <w:r>
        <w:rPr>
          <w:rFonts w:eastAsia="Times New Roman"/>
        </w:rPr>
        <w:t xml:space="preserve">opportunity to tackle all of Britain’s unacceptably higher risk local roads through annual funding. It calls for </w:t>
      </w:r>
      <w:r>
        <w:t>an £83 million annual investment over the next five years to prevent 6,850 fatal and serious injuries over the next 20 years. This would require annual investment of £62m in England, £14m in Scotland and £7m in Wales.</w:t>
      </w:r>
    </w:p>
    <w:p w:rsidR="00EE21E8" w:rsidRDefault="00EE21E8" w:rsidP="00C15CB7"/>
    <w:p w:rsidR="00EE21E8" w:rsidRDefault="00EE21E8" w:rsidP="00C15CB7"/>
    <w:p w:rsidR="00C15CB7" w:rsidRPr="00C15CB7" w:rsidRDefault="00C15CB7" w:rsidP="00C15CB7">
      <w:pPr>
        <w:rPr>
          <w:b/>
        </w:rPr>
      </w:pPr>
      <w:r w:rsidRPr="00C15CB7">
        <w:rPr>
          <w:b/>
        </w:rPr>
        <w:t>Strategic Road Network</w:t>
      </w:r>
    </w:p>
    <w:p w:rsidR="00C15CB7" w:rsidRDefault="00C15CB7" w:rsidP="00C15CB7">
      <w:r>
        <w:t xml:space="preserve">England’s Strategic Road Network (SRN) is the most intensely used of all Britain’s main road networks. It is only 4,300 miles long but carries a third of the nation’s road travel. </w:t>
      </w:r>
    </w:p>
    <w:p w:rsidR="00C15CB7" w:rsidRDefault="00C15CB7" w:rsidP="00C15CB7">
      <w:r>
        <w:lastRenderedPageBreak/>
        <w:t>The report shows that even though this network is by far the safest, more than 200 people lost their lives on it during 2017 alone.  Highways England</w:t>
      </w:r>
      <w:r w:rsidR="00EE21E8">
        <w:t xml:space="preserve">’s </w:t>
      </w:r>
      <w:r>
        <w:t>systematic approach towards a goal of preventing all death and injury by 2040</w:t>
      </w:r>
      <w:r w:rsidR="00EE21E8">
        <w:t xml:space="preserve"> needs considerable action to be achieved</w:t>
      </w:r>
      <w:r>
        <w:t>.</w:t>
      </w:r>
    </w:p>
    <w:p w:rsidR="00C15CB7" w:rsidRDefault="00C15CB7" w:rsidP="00C15CB7"/>
    <w:p w:rsidR="00BB370B" w:rsidRDefault="00BB370B" w:rsidP="00540D0F">
      <w:pPr>
        <w:rPr>
          <w:b/>
        </w:rPr>
      </w:pPr>
    </w:p>
    <w:p w:rsidR="00A34BCF" w:rsidRPr="00A34BCF" w:rsidRDefault="00A34BCF" w:rsidP="00540D0F">
      <w:pPr>
        <w:rPr>
          <w:b/>
        </w:rPr>
      </w:pPr>
      <w:r w:rsidRPr="00A34BCF">
        <w:rPr>
          <w:b/>
        </w:rPr>
        <w:t>Major Road Network</w:t>
      </w:r>
    </w:p>
    <w:p w:rsidR="00490F84" w:rsidRDefault="00A34BCF" w:rsidP="00540D0F">
      <w:r>
        <w:t>The government has committed to create and invest in a Major Roads Network</w:t>
      </w:r>
      <w:r w:rsidR="00236DD2">
        <w:t xml:space="preserve"> </w:t>
      </w:r>
      <w:r>
        <w:t xml:space="preserve">to </w:t>
      </w:r>
      <w:r w:rsidR="00EE21E8">
        <w:t>complement</w:t>
      </w:r>
      <w:r>
        <w:t xml:space="preserve"> the </w:t>
      </w:r>
      <w:r w:rsidR="00BB370B">
        <w:t>SRN</w:t>
      </w:r>
      <w:r>
        <w:t xml:space="preserve">.  This will </w:t>
      </w:r>
      <w:r w:rsidR="000B42DB">
        <w:t xml:space="preserve">comprise </w:t>
      </w:r>
      <w:r>
        <w:t>the most important local ‘A’ roads and continue to be managed by local authorities.</w:t>
      </w:r>
      <w:r w:rsidR="000B42DB">
        <w:t xml:space="preserve"> </w:t>
      </w:r>
    </w:p>
    <w:p w:rsidR="00490F84" w:rsidRDefault="00490F84" w:rsidP="00540D0F"/>
    <w:p w:rsidR="00490F84" w:rsidRDefault="00490F84" w:rsidP="00490F84">
      <w:pPr>
        <w:rPr>
          <w:rFonts w:eastAsia="Times New Roman"/>
        </w:rPr>
      </w:pPr>
      <w:r w:rsidRPr="00490F84">
        <w:t>In England, crash risk more than four times high</w:t>
      </w:r>
      <w:r w:rsidR="006036BC">
        <w:t>er</w:t>
      </w:r>
      <w:r w:rsidRPr="00490F84">
        <w:t xml:space="preserve"> on the MRN </w:t>
      </w:r>
      <w:r w:rsidR="006036BC">
        <w:t xml:space="preserve">than the SRN, </w:t>
      </w:r>
      <w:r w:rsidRPr="00490F84">
        <w:t xml:space="preserve">and is nearly twice as high </w:t>
      </w:r>
      <w:r w:rsidR="00AD62D4">
        <w:t xml:space="preserve">again </w:t>
      </w:r>
      <w:r w:rsidRPr="00490F84">
        <w:t>on local authority non-MRN roads.  Only 10% of travel on the MRN is on low risk sections, and 18% of travel is on medium or higher risk sections (compared to just 1% of travel on strategic roads).</w:t>
      </w:r>
      <w:r w:rsidR="00270D35">
        <w:t xml:space="preserve"> The network carries a third of the travel on the strategic road network and, despite being only slightly longer, </w:t>
      </w:r>
      <w:r w:rsidR="00EE21E8">
        <w:t xml:space="preserve">there were </w:t>
      </w:r>
      <w:r w:rsidR="00270D35">
        <w:t xml:space="preserve">more </w:t>
      </w:r>
      <w:r w:rsidR="00EE21E8">
        <w:t>fatal crashes</w:t>
      </w:r>
      <w:r w:rsidR="00270D35">
        <w:t xml:space="preserve"> on it in 2017. </w:t>
      </w:r>
      <w:r>
        <w:t>The report calls for th</w:t>
      </w:r>
      <w:r w:rsidRPr="00490F84">
        <w:t xml:space="preserve">ese roads </w:t>
      </w:r>
      <w:r>
        <w:t xml:space="preserve">to be </w:t>
      </w:r>
      <w:r w:rsidRPr="00490F84">
        <w:t>tackled as a priority to ensure that they are as safe as should be expected of major roads</w:t>
      </w:r>
      <w:r>
        <w:t xml:space="preserve">, and the introduction of </w:t>
      </w:r>
      <w:r>
        <w:rPr>
          <w:rFonts w:eastAsia="Times New Roman"/>
        </w:rPr>
        <w:t>formal safety performance management to the MRN.</w:t>
      </w:r>
    </w:p>
    <w:p w:rsidR="006D060C" w:rsidRDefault="006D060C" w:rsidP="00490F84">
      <w:pPr>
        <w:rPr>
          <w:rFonts w:eastAsia="Times New Roman"/>
        </w:rPr>
      </w:pPr>
    </w:p>
    <w:p w:rsidR="005D2F8A" w:rsidRPr="005D2F8A" w:rsidRDefault="005D2F8A" w:rsidP="005D2F8A">
      <w:pPr>
        <w:rPr>
          <w:b/>
        </w:rPr>
      </w:pPr>
      <w:r w:rsidRPr="005D2F8A">
        <w:rPr>
          <w:b/>
        </w:rPr>
        <w:t>Most improved roads</w:t>
      </w:r>
    </w:p>
    <w:p w:rsidR="00821509" w:rsidRDefault="00821509" w:rsidP="00821509">
      <w:pPr>
        <w:rPr>
          <w:sz w:val="16"/>
          <w:szCs w:val="16"/>
        </w:rPr>
      </w:pPr>
      <w:r>
        <w:rPr>
          <w:sz w:val="16"/>
          <w:szCs w:val="16"/>
        </w:rPr>
        <w:t>Britain’s most improved roads (2012-14 to 2015-17)</w:t>
      </w:r>
    </w:p>
    <w:p w:rsidR="00821509" w:rsidRDefault="00821509" w:rsidP="00821509">
      <w:pPr>
        <w:rPr>
          <w:sz w:val="16"/>
          <w:szCs w:val="16"/>
        </w:rPr>
      </w:pPr>
    </w:p>
    <w:tbl>
      <w:tblPr>
        <w:tblStyle w:val="TableGrid"/>
        <w:tblW w:w="9242" w:type="dxa"/>
        <w:tblLayout w:type="fixed"/>
        <w:tblLook w:val="04A0" w:firstRow="1" w:lastRow="0" w:firstColumn="1" w:lastColumn="0" w:noHBand="0" w:noVBand="1"/>
      </w:tblPr>
      <w:tblGrid>
        <w:gridCol w:w="1107"/>
        <w:gridCol w:w="5510"/>
        <w:gridCol w:w="2625"/>
      </w:tblGrid>
      <w:tr w:rsidR="007146F9" w:rsidRPr="00B800F4" w:rsidTr="007146F9">
        <w:trPr>
          <w:cantSplit/>
          <w:trHeight w:val="303"/>
          <w:tblHeader/>
        </w:trPr>
        <w:tc>
          <w:tcPr>
            <w:tcW w:w="1107" w:type="dxa"/>
            <w:shd w:val="clear" w:color="auto" w:fill="BFBFBF" w:themeFill="background1" w:themeFillShade="BF"/>
          </w:tcPr>
          <w:p w:rsidR="00EE21E8" w:rsidRPr="00B800F4" w:rsidRDefault="00EE21E8" w:rsidP="00AB408B">
            <w:pPr>
              <w:rPr>
                <w:rFonts w:cs="Arial"/>
                <w:b/>
                <w:sz w:val="16"/>
                <w:szCs w:val="16"/>
              </w:rPr>
            </w:pPr>
            <w:r w:rsidRPr="00B800F4">
              <w:rPr>
                <w:rFonts w:cs="Arial"/>
                <w:b/>
                <w:sz w:val="16"/>
                <w:szCs w:val="16"/>
              </w:rPr>
              <w:t>Road no.</w:t>
            </w:r>
          </w:p>
        </w:tc>
        <w:tc>
          <w:tcPr>
            <w:tcW w:w="5510" w:type="dxa"/>
            <w:shd w:val="clear" w:color="auto" w:fill="BFBFBF" w:themeFill="background1" w:themeFillShade="BF"/>
          </w:tcPr>
          <w:p w:rsidR="00EE21E8" w:rsidRPr="00B800F4" w:rsidRDefault="00EE21E8" w:rsidP="00AB408B">
            <w:pPr>
              <w:rPr>
                <w:rFonts w:cs="Arial"/>
                <w:b/>
                <w:sz w:val="16"/>
                <w:szCs w:val="16"/>
              </w:rPr>
            </w:pPr>
            <w:r w:rsidRPr="00B800F4">
              <w:rPr>
                <w:rFonts w:cs="Arial"/>
                <w:b/>
                <w:sz w:val="16"/>
                <w:szCs w:val="16"/>
              </w:rPr>
              <w:t>Location description</w:t>
            </w:r>
          </w:p>
        </w:tc>
        <w:tc>
          <w:tcPr>
            <w:tcW w:w="2625" w:type="dxa"/>
            <w:shd w:val="clear" w:color="auto" w:fill="BFBFBF" w:themeFill="background1" w:themeFillShade="BF"/>
          </w:tcPr>
          <w:p w:rsidR="00EE21E8" w:rsidRDefault="00EE21E8">
            <w:pPr>
              <w:rPr>
                <w:rFonts w:cs="Arial"/>
                <w:b/>
                <w:sz w:val="16"/>
                <w:szCs w:val="16"/>
              </w:rPr>
            </w:pPr>
            <w:r>
              <w:rPr>
                <w:rFonts w:cs="Arial"/>
                <w:b/>
                <w:sz w:val="16"/>
                <w:szCs w:val="16"/>
              </w:rPr>
              <w:t>Highway authority/ies</w:t>
            </w:r>
          </w:p>
        </w:tc>
      </w:tr>
      <w:tr w:rsidR="007146F9" w:rsidRPr="00C3521E" w:rsidTr="007146F9">
        <w:trPr>
          <w:cantSplit/>
        </w:trPr>
        <w:tc>
          <w:tcPr>
            <w:tcW w:w="1107" w:type="dxa"/>
            <w:tcBorders>
              <w:bottom w:val="single" w:sz="4" w:space="0" w:color="auto"/>
            </w:tcBorders>
            <w:vAlign w:val="center"/>
          </w:tcPr>
          <w:p w:rsidR="00EE21E8" w:rsidRPr="00C3521E" w:rsidRDefault="00EE21E8" w:rsidP="00AB408B">
            <w:pPr>
              <w:rPr>
                <w:rFonts w:cs="Arial"/>
                <w:color w:val="000000"/>
                <w:sz w:val="16"/>
                <w:szCs w:val="16"/>
              </w:rPr>
            </w:pPr>
            <w:r w:rsidRPr="00C3521E">
              <w:rPr>
                <w:rFonts w:cs="Arial"/>
                <w:sz w:val="16"/>
                <w:szCs w:val="16"/>
              </w:rPr>
              <w:t>A11</w:t>
            </w:r>
          </w:p>
        </w:tc>
        <w:tc>
          <w:tcPr>
            <w:tcW w:w="5510" w:type="dxa"/>
            <w:tcBorders>
              <w:bottom w:val="single" w:sz="4" w:space="0" w:color="auto"/>
            </w:tcBorders>
            <w:vAlign w:val="center"/>
          </w:tcPr>
          <w:p w:rsidR="00EE21E8" w:rsidRPr="00C3521E" w:rsidRDefault="00EE21E8" w:rsidP="00AB408B">
            <w:pPr>
              <w:rPr>
                <w:rFonts w:cs="Arial"/>
                <w:color w:val="000000"/>
                <w:sz w:val="16"/>
                <w:szCs w:val="16"/>
              </w:rPr>
            </w:pPr>
            <w:r>
              <w:rPr>
                <w:rFonts w:cs="Arial"/>
                <w:color w:val="000000"/>
                <w:sz w:val="16"/>
                <w:szCs w:val="16"/>
              </w:rPr>
              <w:t>Between the A14 near Newmarket and the A134 north of Thetford</w:t>
            </w:r>
          </w:p>
        </w:tc>
        <w:tc>
          <w:tcPr>
            <w:tcW w:w="2625" w:type="dxa"/>
          </w:tcPr>
          <w:p w:rsidR="00EE21E8" w:rsidRDefault="00EE21E8">
            <w:pPr>
              <w:rPr>
                <w:rFonts w:cs="Arial"/>
                <w:color w:val="000000"/>
                <w:sz w:val="16"/>
                <w:szCs w:val="16"/>
              </w:rPr>
            </w:pPr>
            <w:r>
              <w:rPr>
                <w:rFonts w:cs="Arial"/>
                <w:color w:val="000000"/>
                <w:sz w:val="16"/>
                <w:szCs w:val="16"/>
              </w:rPr>
              <w:t>Highways England</w:t>
            </w:r>
          </w:p>
        </w:tc>
      </w:tr>
      <w:tr w:rsidR="007146F9" w:rsidTr="007146F9">
        <w:trPr>
          <w:cantSplit/>
        </w:trPr>
        <w:tc>
          <w:tcPr>
            <w:tcW w:w="1107" w:type="dxa"/>
            <w:tcBorders>
              <w:bottom w:val="single" w:sz="4" w:space="0" w:color="auto"/>
            </w:tcBorders>
            <w:vAlign w:val="center"/>
          </w:tcPr>
          <w:p w:rsidR="00EE21E8" w:rsidRPr="00C3521E" w:rsidRDefault="00EE21E8" w:rsidP="00AB408B">
            <w:pPr>
              <w:rPr>
                <w:rFonts w:cs="Arial"/>
                <w:sz w:val="16"/>
                <w:szCs w:val="16"/>
              </w:rPr>
            </w:pPr>
            <w:r>
              <w:rPr>
                <w:rFonts w:cs="Arial"/>
                <w:sz w:val="16"/>
                <w:szCs w:val="16"/>
              </w:rPr>
              <w:t>M5</w:t>
            </w:r>
          </w:p>
        </w:tc>
        <w:tc>
          <w:tcPr>
            <w:tcW w:w="5510" w:type="dxa"/>
            <w:tcBorders>
              <w:bottom w:val="single" w:sz="4" w:space="0" w:color="auto"/>
            </w:tcBorders>
            <w:vAlign w:val="center"/>
          </w:tcPr>
          <w:p w:rsidR="00EE21E8" w:rsidRDefault="00EE21E8" w:rsidP="00AB408B">
            <w:pPr>
              <w:rPr>
                <w:rFonts w:cs="Arial"/>
                <w:color w:val="000000"/>
                <w:sz w:val="16"/>
                <w:szCs w:val="16"/>
              </w:rPr>
            </w:pPr>
            <w:r>
              <w:rPr>
                <w:rFonts w:cs="Arial"/>
                <w:color w:val="000000"/>
                <w:sz w:val="16"/>
                <w:szCs w:val="16"/>
              </w:rPr>
              <w:t>Between junctions 16 and 23</w:t>
            </w:r>
          </w:p>
        </w:tc>
        <w:tc>
          <w:tcPr>
            <w:tcW w:w="2625" w:type="dxa"/>
          </w:tcPr>
          <w:p w:rsidR="00EE21E8" w:rsidRDefault="00EE21E8">
            <w:pPr>
              <w:rPr>
                <w:rFonts w:cs="Arial"/>
                <w:color w:val="000000"/>
                <w:sz w:val="16"/>
                <w:szCs w:val="16"/>
              </w:rPr>
            </w:pPr>
            <w:r>
              <w:rPr>
                <w:rFonts w:cs="Arial"/>
                <w:color w:val="000000"/>
                <w:sz w:val="16"/>
                <w:szCs w:val="16"/>
              </w:rPr>
              <w:t>Highways England</w:t>
            </w:r>
          </w:p>
        </w:tc>
      </w:tr>
      <w:tr w:rsidR="007146F9" w:rsidRPr="00856DAD" w:rsidTr="007146F9">
        <w:trPr>
          <w:cantSplit/>
        </w:trPr>
        <w:tc>
          <w:tcPr>
            <w:tcW w:w="1107" w:type="dxa"/>
            <w:tcBorders>
              <w:bottom w:val="single" w:sz="4" w:space="0" w:color="auto"/>
            </w:tcBorders>
            <w:vAlign w:val="center"/>
          </w:tcPr>
          <w:p w:rsidR="00EE21E8" w:rsidRPr="00856DAD" w:rsidRDefault="00EE21E8" w:rsidP="00AB408B">
            <w:pPr>
              <w:rPr>
                <w:rFonts w:cs="Arial"/>
                <w:sz w:val="16"/>
                <w:szCs w:val="16"/>
              </w:rPr>
            </w:pPr>
            <w:r w:rsidRPr="00856DAD">
              <w:rPr>
                <w:rFonts w:cs="Arial"/>
                <w:sz w:val="16"/>
                <w:szCs w:val="16"/>
              </w:rPr>
              <w:t>A161</w:t>
            </w:r>
          </w:p>
        </w:tc>
        <w:tc>
          <w:tcPr>
            <w:tcW w:w="5510" w:type="dxa"/>
            <w:tcBorders>
              <w:bottom w:val="single" w:sz="4" w:space="0" w:color="auto"/>
            </w:tcBorders>
            <w:vAlign w:val="center"/>
          </w:tcPr>
          <w:p w:rsidR="00EE21E8" w:rsidRPr="00856DAD" w:rsidRDefault="00EE21E8" w:rsidP="00AB408B">
            <w:pPr>
              <w:rPr>
                <w:rFonts w:cs="Arial"/>
                <w:color w:val="000000"/>
                <w:sz w:val="16"/>
                <w:szCs w:val="16"/>
              </w:rPr>
            </w:pPr>
            <w:r w:rsidRPr="00856DAD">
              <w:rPr>
                <w:rFonts w:cs="Arial"/>
                <w:color w:val="000000"/>
                <w:sz w:val="16"/>
                <w:szCs w:val="16"/>
              </w:rPr>
              <w:t>Between the A18 and the M62</w:t>
            </w:r>
          </w:p>
        </w:tc>
        <w:tc>
          <w:tcPr>
            <w:tcW w:w="2625" w:type="dxa"/>
          </w:tcPr>
          <w:p w:rsidR="00EE21E8" w:rsidRDefault="00EE21E8">
            <w:pPr>
              <w:rPr>
                <w:rFonts w:cs="Arial"/>
                <w:color w:val="000000"/>
                <w:sz w:val="16"/>
                <w:szCs w:val="16"/>
              </w:rPr>
            </w:pPr>
            <w:r>
              <w:rPr>
                <w:rFonts w:cs="Arial"/>
                <w:color w:val="000000"/>
                <w:sz w:val="16"/>
                <w:szCs w:val="16"/>
              </w:rPr>
              <w:t>57% East Riding of Yorkshire</w:t>
            </w:r>
          </w:p>
          <w:p w:rsidR="00EE21E8" w:rsidRDefault="00EE21E8">
            <w:pPr>
              <w:rPr>
                <w:rFonts w:cs="Arial"/>
                <w:color w:val="000000"/>
                <w:sz w:val="16"/>
                <w:szCs w:val="16"/>
              </w:rPr>
            </w:pPr>
            <w:r>
              <w:rPr>
                <w:rFonts w:cs="Arial"/>
                <w:color w:val="000000"/>
                <w:sz w:val="16"/>
                <w:szCs w:val="16"/>
              </w:rPr>
              <w:t>43% North Lincolnshire</w:t>
            </w:r>
          </w:p>
        </w:tc>
      </w:tr>
      <w:tr w:rsidR="007146F9" w:rsidRPr="00856DAD" w:rsidTr="007146F9">
        <w:trPr>
          <w:cantSplit/>
        </w:trPr>
        <w:tc>
          <w:tcPr>
            <w:tcW w:w="1107" w:type="dxa"/>
            <w:tcBorders>
              <w:bottom w:val="single" w:sz="4" w:space="0" w:color="auto"/>
            </w:tcBorders>
            <w:vAlign w:val="center"/>
          </w:tcPr>
          <w:p w:rsidR="00EE21E8" w:rsidRPr="00856DAD" w:rsidRDefault="00EE21E8" w:rsidP="00AB408B">
            <w:pPr>
              <w:rPr>
                <w:rFonts w:cs="Arial"/>
                <w:sz w:val="16"/>
                <w:szCs w:val="16"/>
              </w:rPr>
            </w:pPr>
            <w:r w:rsidRPr="00856DAD">
              <w:rPr>
                <w:rFonts w:cs="Arial"/>
                <w:sz w:val="16"/>
                <w:szCs w:val="16"/>
              </w:rPr>
              <w:t>A626</w:t>
            </w:r>
          </w:p>
        </w:tc>
        <w:tc>
          <w:tcPr>
            <w:tcW w:w="5510" w:type="dxa"/>
            <w:tcBorders>
              <w:bottom w:val="single" w:sz="4" w:space="0" w:color="auto"/>
            </w:tcBorders>
            <w:vAlign w:val="center"/>
          </w:tcPr>
          <w:p w:rsidR="00EE21E8" w:rsidRPr="00856DAD" w:rsidRDefault="00EE21E8" w:rsidP="00AB408B">
            <w:pPr>
              <w:rPr>
                <w:rFonts w:cs="Arial"/>
                <w:color w:val="000000"/>
                <w:sz w:val="16"/>
                <w:szCs w:val="16"/>
              </w:rPr>
            </w:pPr>
            <w:r w:rsidRPr="00856DAD">
              <w:rPr>
                <w:rFonts w:cs="Arial"/>
                <w:color w:val="000000"/>
                <w:sz w:val="16"/>
                <w:szCs w:val="16"/>
              </w:rPr>
              <w:t>Between the M60 and Dodley Lane</w:t>
            </w:r>
          </w:p>
        </w:tc>
        <w:tc>
          <w:tcPr>
            <w:tcW w:w="2625" w:type="dxa"/>
          </w:tcPr>
          <w:p w:rsidR="00EE21E8" w:rsidRDefault="00EE21E8">
            <w:pPr>
              <w:rPr>
                <w:rFonts w:cs="Arial"/>
                <w:color w:val="000000"/>
                <w:sz w:val="16"/>
                <w:szCs w:val="16"/>
              </w:rPr>
            </w:pPr>
            <w:r>
              <w:rPr>
                <w:rFonts w:cs="Arial"/>
                <w:color w:val="000000"/>
                <w:sz w:val="16"/>
                <w:szCs w:val="16"/>
              </w:rPr>
              <w:t>Stockport</w:t>
            </w:r>
          </w:p>
        </w:tc>
      </w:tr>
      <w:tr w:rsidR="007146F9" w:rsidRPr="00856DAD" w:rsidTr="007146F9">
        <w:tc>
          <w:tcPr>
            <w:tcW w:w="1107" w:type="dxa"/>
            <w:vAlign w:val="center"/>
          </w:tcPr>
          <w:p w:rsidR="00EE21E8" w:rsidRPr="00856DAD" w:rsidRDefault="00EE21E8" w:rsidP="00AB408B">
            <w:pPr>
              <w:rPr>
                <w:rFonts w:cs="Arial"/>
                <w:sz w:val="16"/>
                <w:szCs w:val="16"/>
              </w:rPr>
            </w:pPr>
            <w:r w:rsidRPr="00856DAD">
              <w:rPr>
                <w:rFonts w:cs="Arial"/>
                <w:sz w:val="16"/>
                <w:szCs w:val="16"/>
              </w:rPr>
              <w:t>A10</w:t>
            </w:r>
          </w:p>
        </w:tc>
        <w:tc>
          <w:tcPr>
            <w:tcW w:w="5510" w:type="dxa"/>
            <w:vAlign w:val="center"/>
          </w:tcPr>
          <w:p w:rsidR="00EE21E8" w:rsidRPr="00856DAD" w:rsidRDefault="00EE21E8" w:rsidP="00AB408B">
            <w:pPr>
              <w:rPr>
                <w:rFonts w:cs="Arial"/>
                <w:color w:val="000000"/>
                <w:sz w:val="16"/>
                <w:szCs w:val="16"/>
              </w:rPr>
            </w:pPr>
            <w:r w:rsidRPr="00856DAD">
              <w:rPr>
                <w:rFonts w:cs="Arial"/>
                <w:color w:val="000000"/>
                <w:sz w:val="16"/>
                <w:szCs w:val="16"/>
              </w:rPr>
              <w:t>Between the M11 and the A120</w:t>
            </w:r>
          </w:p>
        </w:tc>
        <w:tc>
          <w:tcPr>
            <w:tcW w:w="2625" w:type="dxa"/>
          </w:tcPr>
          <w:p w:rsidR="00EE21E8" w:rsidRDefault="00EE21E8">
            <w:pPr>
              <w:rPr>
                <w:rFonts w:cs="Arial"/>
                <w:color w:val="000000"/>
                <w:sz w:val="16"/>
                <w:szCs w:val="16"/>
              </w:rPr>
            </w:pPr>
            <w:r>
              <w:rPr>
                <w:rFonts w:cs="Arial"/>
                <w:color w:val="000000"/>
                <w:sz w:val="16"/>
                <w:szCs w:val="16"/>
              </w:rPr>
              <w:t>60% Hertfordshire</w:t>
            </w:r>
          </w:p>
          <w:p w:rsidR="00EE21E8" w:rsidRDefault="00EE21E8">
            <w:pPr>
              <w:rPr>
                <w:rFonts w:cs="Arial"/>
                <w:color w:val="000000"/>
                <w:sz w:val="16"/>
                <w:szCs w:val="16"/>
              </w:rPr>
            </w:pPr>
            <w:r>
              <w:rPr>
                <w:rFonts w:cs="Arial"/>
                <w:color w:val="000000"/>
                <w:sz w:val="16"/>
                <w:szCs w:val="16"/>
              </w:rPr>
              <w:t>40% Cambridgeshire</w:t>
            </w:r>
          </w:p>
        </w:tc>
      </w:tr>
      <w:tr w:rsidR="007146F9" w:rsidRPr="00856DAD" w:rsidTr="007146F9">
        <w:trPr>
          <w:cantSplit/>
        </w:trPr>
        <w:tc>
          <w:tcPr>
            <w:tcW w:w="1107" w:type="dxa"/>
            <w:tcBorders>
              <w:bottom w:val="single" w:sz="4" w:space="0" w:color="auto"/>
            </w:tcBorders>
            <w:vAlign w:val="center"/>
          </w:tcPr>
          <w:p w:rsidR="00EE21E8" w:rsidRPr="00856DAD" w:rsidRDefault="00EE21E8" w:rsidP="00AB408B">
            <w:pPr>
              <w:rPr>
                <w:rFonts w:cs="Arial"/>
                <w:sz w:val="16"/>
                <w:szCs w:val="16"/>
              </w:rPr>
            </w:pPr>
            <w:r w:rsidRPr="00856DAD">
              <w:rPr>
                <w:rFonts w:cs="Arial"/>
                <w:sz w:val="16"/>
                <w:szCs w:val="16"/>
              </w:rPr>
              <w:t>A397</w:t>
            </w:r>
          </w:p>
        </w:tc>
        <w:tc>
          <w:tcPr>
            <w:tcW w:w="5510" w:type="dxa"/>
            <w:tcBorders>
              <w:bottom w:val="single" w:sz="4" w:space="0" w:color="auto"/>
            </w:tcBorders>
            <w:vAlign w:val="center"/>
          </w:tcPr>
          <w:p w:rsidR="00EE21E8" w:rsidRPr="00856DAD" w:rsidRDefault="00EE21E8" w:rsidP="00AB408B">
            <w:pPr>
              <w:rPr>
                <w:rFonts w:cs="Arial"/>
                <w:color w:val="000000"/>
                <w:sz w:val="16"/>
                <w:szCs w:val="16"/>
              </w:rPr>
            </w:pPr>
            <w:r w:rsidRPr="00856DAD">
              <w:rPr>
                <w:rFonts w:cs="Arial"/>
                <w:color w:val="000000"/>
                <w:sz w:val="16"/>
                <w:szCs w:val="16"/>
              </w:rPr>
              <w:t>Between the A3 and the A27</w:t>
            </w:r>
          </w:p>
        </w:tc>
        <w:tc>
          <w:tcPr>
            <w:tcW w:w="2625" w:type="dxa"/>
          </w:tcPr>
          <w:p w:rsidR="00EE21E8" w:rsidRDefault="00EE21E8">
            <w:pPr>
              <w:rPr>
                <w:rFonts w:cs="Arial"/>
                <w:color w:val="000000"/>
                <w:sz w:val="16"/>
                <w:szCs w:val="16"/>
              </w:rPr>
            </w:pPr>
            <w:r>
              <w:rPr>
                <w:rFonts w:cs="Arial"/>
                <w:color w:val="000000"/>
                <w:sz w:val="16"/>
                <w:szCs w:val="16"/>
              </w:rPr>
              <w:t>Portsmouth</w:t>
            </w:r>
          </w:p>
        </w:tc>
      </w:tr>
      <w:tr w:rsidR="007146F9" w:rsidRPr="00856DAD" w:rsidTr="007146F9">
        <w:trPr>
          <w:cantSplit/>
        </w:trPr>
        <w:tc>
          <w:tcPr>
            <w:tcW w:w="1107" w:type="dxa"/>
            <w:tcBorders>
              <w:bottom w:val="single" w:sz="4" w:space="0" w:color="auto"/>
            </w:tcBorders>
            <w:vAlign w:val="center"/>
          </w:tcPr>
          <w:p w:rsidR="00EE21E8" w:rsidRPr="00856DAD" w:rsidRDefault="00EE21E8" w:rsidP="00AB408B">
            <w:pPr>
              <w:rPr>
                <w:rFonts w:cs="Arial"/>
                <w:sz w:val="16"/>
                <w:szCs w:val="16"/>
              </w:rPr>
            </w:pPr>
            <w:r w:rsidRPr="00856DAD">
              <w:rPr>
                <w:rFonts w:cs="Arial"/>
                <w:sz w:val="16"/>
                <w:szCs w:val="16"/>
              </w:rPr>
              <w:t>A4174</w:t>
            </w:r>
          </w:p>
        </w:tc>
        <w:tc>
          <w:tcPr>
            <w:tcW w:w="5510" w:type="dxa"/>
            <w:tcBorders>
              <w:bottom w:val="single" w:sz="4" w:space="0" w:color="auto"/>
            </w:tcBorders>
            <w:vAlign w:val="center"/>
          </w:tcPr>
          <w:p w:rsidR="00EE21E8" w:rsidRPr="00856DAD" w:rsidRDefault="00EE21E8" w:rsidP="00AB408B">
            <w:pPr>
              <w:rPr>
                <w:rFonts w:cs="Arial"/>
                <w:color w:val="000000"/>
                <w:sz w:val="16"/>
                <w:szCs w:val="16"/>
              </w:rPr>
            </w:pPr>
            <w:r w:rsidRPr="00856DAD">
              <w:rPr>
                <w:rFonts w:cs="Arial"/>
                <w:color w:val="000000"/>
                <w:sz w:val="16"/>
                <w:szCs w:val="16"/>
              </w:rPr>
              <w:t>Between the A4 and Bedminster Road</w:t>
            </w:r>
          </w:p>
        </w:tc>
        <w:tc>
          <w:tcPr>
            <w:tcW w:w="2625" w:type="dxa"/>
          </w:tcPr>
          <w:p w:rsidR="00EE21E8" w:rsidRDefault="00EE21E8">
            <w:pPr>
              <w:rPr>
                <w:rFonts w:cs="Arial"/>
                <w:color w:val="000000"/>
                <w:sz w:val="16"/>
                <w:szCs w:val="16"/>
              </w:rPr>
            </w:pPr>
            <w:r>
              <w:rPr>
                <w:rFonts w:cs="Arial"/>
                <w:color w:val="000000"/>
                <w:sz w:val="16"/>
                <w:szCs w:val="16"/>
              </w:rPr>
              <w:t>Bristol, City of</w:t>
            </w:r>
          </w:p>
        </w:tc>
      </w:tr>
      <w:tr w:rsidR="007146F9" w:rsidRPr="00856DAD" w:rsidTr="007146F9">
        <w:trPr>
          <w:cantSplit/>
        </w:trPr>
        <w:tc>
          <w:tcPr>
            <w:tcW w:w="1107" w:type="dxa"/>
            <w:tcBorders>
              <w:bottom w:val="single" w:sz="4" w:space="0" w:color="auto"/>
            </w:tcBorders>
            <w:vAlign w:val="center"/>
          </w:tcPr>
          <w:p w:rsidR="00EE21E8" w:rsidRPr="00856DAD" w:rsidRDefault="00EE21E8" w:rsidP="00AB408B">
            <w:pPr>
              <w:rPr>
                <w:rFonts w:cs="Arial"/>
                <w:sz w:val="16"/>
                <w:szCs w:val="16"/>
              </w:rPr>
            </w:pPr>
            <w:r w:rsidRPr="00856DAD">
              <w:rPr>
                <w:rFonts w:cs="Arial"/>
                <w:sz w:val="16"/>
                <w:szCs w:val="16"/>
              </w:rPr>
              <w:t>A666</w:t>
            </w:r>
          </w:p>
        </w:tc>
        <w:tc>
          <w:tcPr>
            <w:tcW w:w="5510" w:type="dxa"/>
            <w:tcBorders>
              <w:bottom w:val="single" w:sz="4" w:space="0" w:color="auto"/>
            </w:tcBorders>
            <w:vAlign w:val="center"/>
          </w:tcPr>
          <w:p w:rsidR="00EE21E8" w:rsidRPr="00856DAD" w:rsidRDefault="00EE21E8" w:rsidP="00AB408B">
            <w:pPr>
              <w:rPr>
                <w:rFonts w:cs="Arial"/>
                <w:color w:val="000000"/>
                <w:sz w:val="16"/>
                <w:szCs w:val="16"/>
              </w:rPr>
            </w:pPr>
            <w:r>
              <w:rPr>
                <w:color w:val="000000"/>
                <w:sz w:val="16"/>
                <w:szCs w:val="16"/>
                <w:bdr w:val="none" w:sz="0" w:space="0" w:color="auto" w:frame="1"/>
              </w:rPr>
              <w:t>Between Town’s Moor and Queen’s Road, Whitehall, including the junction with the M65</w:t>
            </w:r>
          </w:p>
        </w:tc>
        <w:tc>
          <w:tcPr>
            <w:tcW w:w="2625" w:type="dxa"/>
          </w:tcPr>
          <w:p w:rsidR="00EE21E8" w:rsidRDefault="00EE21E8">
            <w:pPr>
              <w:rPr>
                <w:color w:val="000000"/>
                <w:sz w:val="16"/>
                <w:szCs w:val="16"/>
                <w:bdr w:val="none" w:sz="0" w:space="0" w:color="auto" w:frame="1"/>
              </w:rPr>
            </w:pPr>
            <w:r>
              <w:rPr>
                <w:color w:val="000000"/>
                <w:sz w:val="16"/>
                <w:szCs w:val="16"/>
                <w:bdr w:val="none" w:sz="0" w:space="0" w:color="auto" w:frame="1"/>
              </w:rPr>
              <w:t>Blackburn with Darwen</w:t>
            </w:r>
          </w:p>
        </w:tc>
      </w:tr>
    </w:tbl>
    <w:p w:rsidR="00821509" w:rsidRDefault="00821509" w:rsidP="005D2F8A"/>
    <w:p w:rsidR="005D2F8A" w:rsidRDefault="005D2F8A" w:rsidP="005D2F8A">
      <w:r>
        <w:t xml:space="preserve">The number of fatal and serious crashes on </w:t>
      </w:r>
      <w:r w:rsidRPr="00830777">
        <w:t>the 8 most</w:t>
      </w:r>
      <w:r w:rsidRPr="00EB03FA">
        <w:t xml:space="preserve"> improved roads </w:t>
      </w:r>
      <w:r>
        <w:t xml:space="preserve">listed </w:t>
      </w:r>
      <w:r w:rsidRPr="00EB03FA">
        <w:t xml:space="preserve">this year fell </w:t>
      </w:r>
      <w:r w:rsidR="00522D3E">
        <w:t xml:space="preserve">from 161 (2012-14) to 47 (2015-17) – a </w:t>
      </w:r>
      <w:r w:rsidRPr="00830777">
        <w:t>7</w:t>
      </w:r>
      <w:r>
        <w:t>1</w:t>
      </w:r>
      <w:r w:rsidRPr="00830777">
        <w:t>%</w:t>
      </w:r>
      <w:r w:rsidR="00522D3E">
        <w:t xml:space="preserve"> reduction</w:t>
      </w:r>
      <w:r w:rsidRPr="00830777">
        <w:t>,</w:t>
      </w:r>
      <w:r w:rsidRPr="00EB03FA">
        <w:t xml:space="preserve"> equating to an annual value of prevention of fatal and serious crashes of </w:t>
      </w:r>
      <w:r w:rsidRPr="00830777">
        <w:t>£14 million and a projected 20-year Net Present Value of £104 million</w:t>
      </w:r>
      <w:r w:rsidRPr="00EB03FA">
        <w:t>.</w:t>
      </w:r>
    </w:p>
    <w:p w:rsidR="005D2F8A" w:rsidRDefault="005D2F8A" w:rsidP="005D2F8A"/>
    <w:p w:rsidR="005D2F8A" w:rsidRDefault="005D2F8A" w:rsidP="005D2F8A">
      <w:bookmarkStart w:id="1" w:name="_Hlk497766514"/>
      <w:r w:rsidRPr="00CA672A">
        <w:t xml:space="preserve">This year’s most improved road </w:t>
      </w:r>
      <w:r>
        <w:t xml:space="preserve">stretch </w:t>
      </w:r>
      <w:r w:rsidRPr="00CA672A">
        <w:t>i</w:t>
      </w:r>
      <w:r>
        <w:t xml:space="preserve">s </w:t>
      </w:r>
      <w:r w:rsidRPr="00D64704">
        <w:t>part of the A11 between the A14 near Newmarket and the A134 north of Thetford</w:t>
      </w:r>
      <w:r>
        <w:t xml:space="preserve"> and managed by Highways England. The road was part converted to dual carriageway in 2015/16 and a bypass was created around the village of Elveden. Fatal and serious crashes fell from 31 in the first data period (2012-14) to 9 in the second data period (2015-17). </w:t>
      </w:r>
    </w:p>
    <w:bookmarkEnd w:id="1"/>
    <w:p w:rsidR="005D2F8A" w:rsidRDefault="005D2F8A"/>
    <w:p w:rsidR="00522D3E" w:rsidRPr="00522D3E" w:rsidRDefault="00522D3E" w:rsidP="004C7FCE">
      <w:pPr>
        <w:keepNext/>
        <w:rPr>
          <w:b/>
        </w:rPr>
      </w:pPr>
      <w:r w:rsidRPr="00522D3E">
        <w:rPr>
          <w:b/>
        </w:rPr>
        <w:lastRenderedPageBreak/>
        <w:t>Persistently higher risk rural roads</w:t>
      </w:r>
    </w:p>
    <w:p w:rsidR="00821509" w:rsidRDefault="00821509" w:rsidP="004C7FCE">
      <w:pPr>
        <w:keepNext/>
        <w:rPr>
          <w:sz w:val="16"/>
          <w:szCs w:val="16"/>
        </w:rPr>
      </w:pPr>
      <w:r>
        <w:rPr>
          <w:sz w:val="16"/>
          <w:szCs w:val="16"/>
        </w:rPr>
        <w:t>Britain’s top 10 persistently higher risk roads (2012-14 and 2015-17)</w:t>
      </w:r>
    </w:p>
    <w:p w:rsidR="00821509" w:rsidRDefault="00821509" w:rsidP="004C7FCE">
      <w:pPr>
        <w:keepNext/>
        <w:rPr>
          <w:sz w:val="16"/>
          <w:szCs w:val="16"/>
        </w:rPr>
      </w:pPr>
    </w:p>
    <w:tbl>
      <w:tblPr>
        <w:tblStyle w:val="TableGrid"/>
        <w:tblW w:w="8647" w:type="dxa"/>
        <w:tblLayout w:type="fixed"/>
        <w:tblLook w:val="04A0" w:firstRow="1" w:lastRow="0" w:firstColumn="1" w:lastColumn="0" w:noHBand="0" w:noVBand="1"/>
      </w:tblPr>
      <w:tblGrid>
        <w:gridCol w:w="1120"/>
        <w:gridCol w:w="5165"/>
        <w:gridCol w:w="2362"/>
      </w:tblGrid>
      <w:tr w:rsidR="007146F9" w:rsidRPr="00B800F4" w:rsidTr="007146F9">
        <w:trPr>
          <w:trHeight w:val="403"/>
          <w:tblHeader/>
        </w:trPr>
        <w:tc>
          <w:tcPr>
            <w:tcW w:w="1120" w:type="dxa"/>
            <w:shd w:val="clear" w:color="auto" w:fill="BFBFBF" w:themeFill="background1" w:themeFillShade="BF"/>
          </w:tcPr>
          <w:p w:rsidR="007146F9" w:rsidRPr="00B800F4" w:rsidRDefault="007146F9" w:rsidP="00AB408B">
            <w:pPr>
              <w:keepNext/>
              <w:jc w:val="both"/>
              <w:rPr>
                <w:rFonts w:cs="Arial"/>
                <w:b/>
                <w:sz w:val="16"/>
                <w:szCs w:val="16"/>
              </w:rPr>
            </w:pPr>
            <w:r w:rsidRPr="00B800F4">
              <w:rPr>
                <w:rFonts w:cs="Arial"/>
                <w:b/>
                <w:sz w:val="16"/>
                <w:szCs w:val="16"/>
              </w:rPr>
              <w:t>Road no.</w:t>
            </w:r>
          </w:p>
        </w:tc>
        <w:tc>
          <w:tcPr>
            <w:tcW w:w="5165" w:type="dxa"/>
            <w:shd w:val="clear" w:color="auto" w:fill="BFBFBF" w:themeFill="background1" w:themeFillShade="BF"/>
          </w:tcPr>
          <w:p w:rsidR="007146F9" w:rsidRPr="00B800F4" w:rsidRDefault="007146F9" w:rsidP="00AB408B">
            <w:pPr>
              <w:keepNext/>
              <w:jc w:val="both"/>
              <w:rPr>
                <w:rFonts w:cs="Arial"/>
                <w:b/>
                <w:sz w:val="16"/>
                <w:szCs w:val="16"/>
              </w:rPr>
            </w:pPr>
            <w:r w:rsidRPr="00B800F4">
              <w:rPr>
                <w:rFonts w:cs="Arial"/>
                <w:b/>
                <w:sz w:val="16"/>
                <w:szCs w:val="16"/>
              </w:rPr>
              <w:t>Location description</w:t>
            </w:r>
          </w:p>
        </w:tc>
        <w:tc>
          <w:tcPr>
            <w:tcW w:w="2362" w:type="dxa"/>
            <w:shd w:val="clear" w:color="auto" w:fill="BFBFBF" w:themeFill="background1" w:themeFillShade="BF"/>
          </w:tcPr>
          <w:p w:rsidR="007146F9" w:rsidRPr="00B800F4" w:rsidRDefault="007146F9" w:rsidP="007146F9">
            <w:pPr>
              <w:keepNext/>
              <w:jc w:val="both"/>
              <w:rPr>
                <w:rFonts w:cs="Arial"/>
                <w:b/>
                <w:sz w:val="16"/>
                <w:szCs w:val="16"/>
              </w:rPr>
            </w:pPr>
            <w:r>
              <w:rPr>
                <w:rFonts w:cs="Arial"/>
                <w:b/>
                <w:sz w:val="16"/>
                <w:szCs w:val="16"/>
              </w:rPr>
              <w:t>Highway authority/ies</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A5004</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A6 and the A53</w:t>
            </w:r>
            <w:r>
              <w:rPr>
                <w:rFonts w:cs="Arial"/>
                <w:sz w:val="16"/>
                <w:szCs w:val="16"/>
              </w:rPr>
              <w:t>*</w:t>
            </w:r>
          </w:p>
        </w:tc>
        <w:tc>
          <w:tcPr>
            <w:tcW w:w="2362" w:type="dxa"/>
          </w:tcPr>
          <w:p w:rsidR="003148B9" w:rsidRPr="009F2DF3" w:rsidRDefault="003148B9" w:rsidP="00AB408B">
            <w:pPr>
              <w:keepNext/>
              <w:rPr>
                <w:rFonts w:cs="Arial"/>
                <w:sz w:val="16"/>
                <w:szCs w:val="16"/>
              </w:rPr>
            </w:pPr>
            <w:r>
              <w:rPr>
                <w:rFonts w:cs="Arial"/>
                <w:sz w:val="16"/>
                <w:szCs w:val="16"/>
              </w:rPr>
              <w:t>Derbyshire</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A3055</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A3054 near Freshwater and the A3054 in Ryde</w:t>
            </w:r>
          </w:p>
        </w:tc>
        <w:tc>
          <w:tcPr>
            <w:tcW w:w="2362" w:type="dxa"/>
          </w:tcPr>
          <w:p w:rsidR="003148B9" w:rsidRPr="009F2DF3" w:rsidRDefault="003148B9" w:rsidP="00AB408B">
            <w:pPr>
              <w:keepNext/>
              <w:rPr>
                <w:rFonts w:cs="Arial"/>
                <w:sz w:val="16"/>
                <w:szCs w:val="16"/>
              </w:rPr>
            </w:pPr>
            <w:r>
              <w:rPr>
                <w:rFonts w:cs="Arial"/>
                <w:sz w:val="16"/>
                <w:szCs w:val="16"/>
              </w:rPr>
              <w:t>Isle of Wight</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A645</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A638 and the A639</w:t>
            </w:r>
          </w:p>
        </w:tc>
        <w:tc>
          <w:tcPr>
            <w:tcW w:w="2362" w:type="dxa"/>
          </w:tcPr>
          <w:p w:rsidR="003148B9" w:rsidRPr="009F2DF3" w:rsidRDefault="003148B9" w:rsidP="00AB408B">
            <w:pPr>
              <w:keepNext/>
              <w:rPr>
                <w:rFonts w:cs="Arial"/>
                <w:sz w:val="16"/>
                <w:szCs w:val="16"/>
              </w:rPr>
            </w:pPr>
            <w:r>
              <w:rPr>
                <w:rFonts w:cs="Arial"/>
                <w:sz w:val="16"/>
                <w:szCs w:val="16"/>
              </w:rPr>
              <w:t>Wakefield</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A909</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M90 and the A921</w:t>
            </w:r>
          </w:p>
        </w:tc>
        <w:tc>
          <w:tcPr>
            <w:tcW w:w="2362" w:type="dxa"/>
          </w:tcPr>
          <w:p w:rsidR="003148B9" w:rsidRPr="009F2DF3" w:rsidRDefault="003148B9" w:rsidP="00AB408B">
            <w:pPr>
              <w:keepNext/>
              <w:rPr>
                <w:rFonts w:cs="Arial"/>
                <w:sz w:val="16"/>
                <w:szCs w:val="16"/>
              </w:rPr>
            </w:pPr>
            <w:r>
              <w:rPr>
                <w:rFonts w:cs="Arial"/>
                <w:sz w:val="16"/>
                <w:szCs w:val="16"/>
              </w:rPr>
              <w:t>Fife</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A57</w:t>
            </w:r>
          </w:p>
        </w:tc>
        <w:tc>
          <w:tcPr>
            <w:tcW w:w="5165" w:type="dxa"/>
            <w:vAlign w:val="center"/>
          </w:tcPr>
          <w:p w:rsidR="003148B9" w:rsidRDefault="003148B9" w:rsidP="00AB408B">
            <w:pPr>
              <w:keepNext/>
              <w:rPr>
                <w:rFonts w:cs="Arial"/>
                <w:sz w:val="16"/>
                <w:szCs w:val="16"/>
              </w:rPr>
            </w:pPr>
          </w:p>
          <w:p w:rsidR="003148B9" w:rsidRDefault="003148B9" w:rsidP="00AB408B">
            <w:pPr>
              <w:keepNext/>
              <w:rPr>
                <w:rFonts w:cs="Arial"/>
                <w:sz w:val="16"/>
                <w:szCs w:val="16"/>
              </w:rPr>
            </w:pPr>
            <w:r w:rsidRPr="009F2DF3">
              <w:rPr>
                <w:rFonts w:cs="Arial"/>
                <w:sz w:val="16"/>
                <w:szCs w:val="16"/>
              </w:rPr>
              <w:t>Between the A628 and Sandy Gate</w:t>
            </w:r>
          </w:p>
          <w:p w:rsidR="003148B9" w:rsidRPr="009F2DF3" w:rsidRDefault="003148B9" w:rsidP="00AB408B">
            <w:pPr>
              <w:keepNext/>
              <w:rPr>
                <w:rFonts w:cs="Arial"/>
                <w:sz w:val="16"/>
                <w:szCs w:val="16"/>
              </w:rPr>
            </w:pPr>
          </w:p>
        </w:tc>
        <w:tc>
          <w:tcPr>
            <w:tcW w:w="2362" w:type="dxa"/>
          </w:tcPr>
          <w:p w:rsidR="003148B9" w:rsidRDefault="003148B9" w:rsidP="003148B9">
            <w:pPr>
              <w:keepNext/>
              <w:rPr>
                <w:sz w:val="16"/>
              </w:rPr>
            </w:pPr>
            <w:r>
              <w:rPr>
                <w:sz w:val="16"/>
              </w:rPr>
              <w:t>76% Derbyshire</w:t>
            </w:r>
          </w:p>
          <w:p w:rsidR="003148B9" w:rsidRDefault="003148B9" w:rsidP="003148B9">
            <w:pPr>
              <w:keepNext/>
              <w:rPr>
                <w:sz w:val="16"/>
              </w:rPr>
            </w:pPr>
            <w:r>
              <w:rPr>
                <w:sz w:val="16"/>
              </w:rPr>
              <w:t>22% Sheffield</w:t>
            </w:r>
          </w:p>
          <w:p w:rsidR="003148B9" w:rsidRDefault="003148B9" w:rsidP="003148B9">
            <w:pPr>
              <w:keepNext/>
              <w:rPr>
                <w:rFonts w:cs="Arial"/>
                <w:sz w:val="16"/>
                <w:szCs w:val="16"/>
              </w:rPr>
            </w:pPr>
            <w:r>
              <w:rPr>
                <w:sz w:val="16"/>
              </w:rPr>
              <w:t>2% Tameside</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A683</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A65 and the A6</w:t>
            </w:r>
            <w:r>
              <w:rPr>
                <w:rFonts w:cs="Arial"/>
                <w:sz w:val="16"/>
                <w:szCs w:val="16"/>
              </w:rPr>
              <w:t>*</w:t>
            </w:r>
          </w:p>
        </w:tc>
        <w:tc>
          <w:tcPr>
            <w:tcW w:w="2362" w:type="dxa"/>
          </w:tcPr>
          <w:p w:rsidR="003148B9" w:rsidRPr="009F2DF3" w:rsidRDefault="003148B9" w:rsidP="00AB408B">
            <w:pPr>
              <w:keepNext/>
              <w:rPr>
                <w:rFonts w:cs="Arial"/>
                <w:sz w:val="16"/>
                <w:szCs w:val="16"/>
              </w:rPr>
            </w:pPr>
            <w:r>
              <w:rPr>
                <w:rFonts w:cs="Arial"/>
                <w:sz w:val="16"/>
                <w:szCs w:val="16"/>
              </w:rPr>
              <w:t>Lancashire</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A290</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A299 and the A28</w:t>
            </w:r>
            <w:r>
              <w:rPr>
                <w:rFonts w:cs="Arial"/>
                <w:sz w:val="16"/>
                <w:szCs w:val="16"/>
              </w:rPr>
              <w:t>*</w:t>
            </w:r>
          </w:p>
        </w:tc>
        <w:tc>
          <w:tcPr>
            <w:tcW w:w="2362" w:type="dxa"/>
          </w:tcPr>
          <w:p w:rsidR="003148B9" w:rsidRPr="009F2DF3" w:rsidRDefault="003148B9" w:rsidP="00AB408B">
            <w:pPr>
              <w:keepNext/>
              <w:rPr>
                <w:rFonts w:cs="Arial"/>
                <w:sz w:val="16"/>
                <w:szCs w:val="16"/>
              </w:rPr>
            </w:pPr>
            <w:r>
              <w:rPr>
                <w:rFonts w:cs="Arial"/>
                <w:sz w:val="16"/>
                <w:szCs w:val="16"/>
              </w:rPr>
              <w:t>Kent</w:t>
            </w:r>
          </w:p>
        </w:tc>
      </w:tr>
      <w:tr w:rsidR="007146F9" w:rsidRPr="009F2DF3" w:rsidTr="007146F9">
        <w:trPr>
          <w:trHeight w:val="170"/>
        </w:trPr>
        <w:tc>
          <w:tcPr>
            <w:tcW w:w="1120" w:type="dxa"/>
            <w:vAlign w:val="center"/>
          </w:tcPr>
          <w:p w:rsidR="003148B9" w:rsidRPr="009F2DF3" w:rsidRDefault="003148B9" w:rsidP="00AB408B">
            <w:pPr>
              <w:keepNext/>
              <w:jc w:val="both"/>
              <w:rPr>
                <w:rFonts w:cs="Arial"/>
                <w:sz w:val="16"/>
                <w:szCs w:val="16"/>
              </w:rPr>
            </w:pPr>
            <w:r w:rsidRPr="009F2DF3">
              <w:rPr>
                <w:rFonts w:cs="Arial"/>
                <w:color w:val="000000"/>
                <w:sz w:val="16"/>
                <w:szCs w:val="16"/>
              </w:rPr>
              <w:t>A272</w:t>
            </w:r>
          </w:p>
        </w:tc>
        <w:tc>
          <w:tcPr>
            <w:tcW w:w="5165" w:type="dxa"/>
            <w:vAlign w:val="center"/>
          </w:tcPr>
          <w:p w:rsidR="003148B9" w:rsidRPr="009F2DF3" w:rsidRDefault="003148B9" w:rsidP="00AB408B">
            <w:pPr>
              <w:keepNext/>
              <w:rPr>
                <w:rFonts w:cs="Arial"/>
                <w:sz w:val="16"/>
                <w:szCs w:val="16"/>
              </w:rPr>
            </w:pPr>
            <w:r w:rsidRPr="009F2DF3">
              <w:rPr>
                <w:rFonts w:cs="Arial"/>
                <w:sz w:val="16"/>
                <w:szCs w:val="16"/>
              </w:rPr>
              <w:t>Between the A30 and the A3</w:t>
            </w:r>
          </w:p>
        </w:tc>
        <w:tc>
          <w:tcPr>
            <w:tcW w:w="2362" w:type="dxa"/>
          </w:tcPr>
          <w:p w:rsidR="003148B9" w:rsidRPr="009F2DF3" w:rsidRDefault="003148B9" w:rsidP="00AB408B">
            <w:pPr>
              <w:keepNext/>
              <w:rPr>
                <w:rFonts w:cs="Arial"/>
                <w:sz w:val="16"/>
                <w:szCs w:val="16"/>
              </w:rPr>
            </w:pPr>
            <w:r>
              <w:rPr>
                <w:rFonts w:cs="Arial"/>
                <w:sz w:val="16"/>
                <w:szCs w:val="16"/>
              </w:rPr>
              <w:t>Hampshire</w:t>
            </w:r>
          </w:p>
        </w:tc>
      </w:tr>
      <w:tr w:rsidR="007146F9" w:rsidRPr="009F2DF3" w:rsidTr="007146F9">
        <w:trPr>
          <w:trHeight w:val="170"/>
        </w:trPr>
        <w:tc>
          <w:tcPr>
            <w:tcW w:w="1120" w:type="dxa"/>
            <w:vAlign w:val="center"/>
          </w:tcPr>
          <w:p w:rsidR="003148B9" w:rsidRPr="009F2DF3" w:rsidRDefault="003148B9" w:rsidP="00AB408B">
            <w:pPr>
              <w:jc w:val="both"/>
              <w:rPr>
                <w:rFonts w:cs="Arial"/>
                <w:sz w:val="16"/>
                <w:szCs w:val="16"/>
              </w:rPr>
            </w:pPr>
            <w:r w:rsidRPr="009F2DF3">
              <w:rPr>
                <w:rFonts w:cs="Arial"/>
                <w:color w:val="000000"/>
                <w:sz w:val="16"/>
                <w:szCs w:val="16"/>
              </w:rPr>
              <w:t>A3054</w:t>
            </w:r>
          </w:p>
        </w:tc>
        <w:tc>
          <w:tcPr>
            <w:tcW w:w="5165" w:type="dxa"/>
            <w:vAlign w:val="center"/>
          </w:tcPr>
          <w:p w:rsidR="003148B9" w:rsidRPr="009F2DF3" w:rsidRDefault="003148B9" w:rsidP="00AB408B">
            <w:pPr>
              <w:rPr>
                <w:rFonts w:cs="Arial"/>
                <w:sz w:val="16"/>
                <w:szCs w:val="16"/>
              </w:rPr>
            </w:pPr>
            <w:r w:rsidRPr="009F2DF3">
              <w:rPr>
                <w:rFonts w:cs="Arial"/>
                <w:sz w:val="16"/>
                <w:szCs w:val="16"/>
              </w:rPr>
              <w:t>Between the A3055 near Freshwater and the A3055 in Ryde</w:t>
            </w:r>
          </w:p>
        </w:tc>
        <w:tc>
          <w:tcPr>
            <w:tcW w:w="2362" w:type="dxa"/>
          </w:tcPr>
          <w:p w:rsidR="003148B9" w:rsidRPr="009F2DF3" w:rsidRDefault="003148B9" w:rsidP="00AB408B">
            <w:pPr>
              <w:rPr>
                <w:rFonts w:cs="Arial"/>
                <w:sz w:val="16"/>
                <w:szCs w:val="16"/>
              </w:rPr>
            </w:pPr>
            <w:r>
              <w:rPr>
                <w:rFonts w:cs="Arial"/>
                <w:sz w:val="16"/>
                <w:szCs w:val="16"/>
              </w:rPr>
              <w:t>Isle of Wight</w:t>
            </w:r>
          </w:p>
        </w:tc>
      </w:tr>
      <w:tr w:rsidR="007146F9" w:rsidRPr="009F2DF3" w:rsidTr="007146F9">
        <w:trPr>
          <w:trHeight w:val="170"/>
        </w:trPr>
        <w:tc>
          <w:tcPr>
            <w:tcW w:w="1120" w:type="dxa"/>
            <w:vAlign w:val="center"/>
          </w:tcPr>
          <w:p w:rsidR="003148B9" w:rsidRPr="009F2DF3" w:rsidRDefault="003148B9" w:rsidP="00AB408B">
            <w:pPr>
              <w:jc w:val="both"/>
              <w:rPr>
                <w:rFonts w:cs="Arial"/>
                <w:color w:val="000000"/>
                <w:sz w:val="16"/>
                <w:szCs w:val="16"/>
              </w:rPr>
            </w:pPr>
            <w:r>
              <w:rPr>
                <w:rFonts w:cs="Arial"/>
                <w:color w:val="000000"/>
                <w:sz w:val="16"/>
                <w:szCs w:val="16"/>
              </w:rPr>
              <w:t>A361</w:t>
            </w:r>
          </w:p>
        </w:tc>
        <w:tc>
          <w:tcPr>
            <w:tcW w:w="5165" w:type="dxa"/>
            <w:vAlign w:val="center"/>
          </w:tcPr>
          <w:p w:rsidR="003148B9" w:rsidRPr="009F2DF3" w:rsidRDefault="003148B9" w:rsidP="00AB408B">
            <w:pPr>
              <w:rPr>
                <w:rFonts w:cs="Arial"/>
                <w:sz w:val="16"/>
                <w:szCs w:val="16"/>
              </w:rPr>
            </w:pPr>
            <w:r>
              <w:rPr>
                <w:rFonts w:cs="Arial"/>
                <w:sz w:val="16"/>
                <w:szCs w:val="16"/>
              </w:rPr>
              <w:t>Between the A377 and the A399</w:t>
            </w:r>
            <w:r w:rsidDel="00F643B9">
              <w:rPr>
                <w:rFonts w:cs="Arial"/>
                <w:sz w:val="16"/>
                <w:szCs w:val="16"/>
              </w:rPr>
              <w:t xml:space="preserve"> </w:t>
            </w:r>
          </w:p>
        </w:tc>
        <w:tc>
          <w:tcPr>
            <w:tcW w:w="2362" w:type="dxa"/>
          </w:tcPr>
          <w:p w:rsidR="003148B9" w:rsidRDefault="003148B9" w:rsidP="00AB408B">
            <w:pPr>
              <w:rPr>
                <w:rFonts w:cs="Arial"/>
                <w:sz w:val="16"/>
                <w:szCs w:val="16"/>
              </w:rPr>
            </w:pPr>
            <w:r>
              <w:rPr>
                <w:rFonts w:cs="Arial"/>
                <w:sz w:val="16"/>
                <w:szCs w:val="16"/>
              </w:rPr>
              <w:t>Devon</w:t>
            </w:r>
          </w:p>
        </w:tc>
      </w:tr>
    </w:tbl>
    <w:p w:rsidR="003148B9" w:rsidRDefault="003148B9">
      <w:pPr>
        <w:rPr>
          <w:sz w:val="16"/>
          <w:szCs w:val="16"/>
        </w:rPr>
      </w:pPr>
    </w:p>
    <w:p w:rsidR="003148B9" w:rsidRDefault="00400364">
      <w:pPr>
        <w:rPr>
          <w:sz w:val="16"/>
          <w:szCs w:val="16"/>
        </w:rPr>
      </w:pPr>
      <w:r w:rsidRPr="00400364">
        <w:rPr>
          <w:sz w:val="16"/>
          <w:szCs w:val="16"/>
        </w:rPr>
        <w:t>* being addressed by the Safer Roads Fund</w:t>
      </w:r>
      <w:r w:rsidR="003148B9">
        <w:rPr>
          <w:sz w:val="16"/>
          <w:szCs w:val="16"/>
        </w:rPr>
        <w:t xml:space="preserve"> during 2019/2020 – 2020/2021</w:t>
      </w:r>
    </w:p>
    <w:p w:rsidR="00400364" w:rsidRDefault="00400364"/>
    <w:p w:rsidR="00E75A75" w:rsidRDefault="00522D3E">
      <w:r>
        <w:t>There are 75 persistently higher risk road sections that are not yet being addressed through the Safer Roads Fund</w:t>
      </w:r>
      <w:r w:rsidR="00D64CD0">
        <w:t>,</w:t>
      </w:r>
      <w:r>
        <w:t xml:space="preserve"> </w:t>
      </w:r>
      <w:r w:rsidRPr="008744E9">
        <w:t>including seven of those listed in the top 10</w:t>
      </w:r>
      <w:r w:rsidR="004B2EDD">
        <w:t xml:space="preserve"> </w:t>
      </w:r>
      <w:r w:rsidRPr="008744E9">
        <w:t>persistently</w:t>
      </w:r>
      <w:r>
        <w:t xml:space="preserve"> higher risk rural roads table</w:t>
      </w:r>
      <w:r w:rsidR="004B2EDD">
        <w:t xml:space="preserve"> (attached)</w:t>
      </w:r>
      <w:r>
        <w:t>.</w:t>
      </w:r>
      <w:r w:rsidR="004B2EDD">
        <w:t xml:space="preserve"> </w:t>
      </w:r>
      <w:r w:rsidRPr="00522D3E">
        <w:t>A total of 4,400 fatal and serious crashes occurred on these roads between 2012 and 2017, and the associated societal cost of reported injury crashes between 2015 and 2017 was £1,008 million.</w:t>
      </w:r>
    </w:p>
    <w:p w:rsidR="00522D3E" w:rsidRDefault="00522D3E"/>
    <w:p w:rsidR="00522D3E" w:rsidRDefault="00E92173">
      <w:r>
        <w:t>The A5004 b</w:t>
      </w:r>
      <w:r w:rsidRPr="00E92173">
        <w:t>etween the A6 and the A53</w:t>
      </w:r>
      <w:r>
        <w:t xml:space="preserve"> in Derbyshire tops the list with 8 </w:t>
      </w:r>
      <w:r w:rsidR="00AD62D4">
        <w:t xml:space="preserve">crashes resulting in </w:t>
      </w:r>
      <w:r>
        <w:t>death</w:t>
      </w:r>
      <w:r w:rsidR="00AD62D4">
        <w:t xml:space="preserve"> or </w:t>
      </w:r>
      <w:r>
        <w:t>serious injur</w:t>
      </w:r>
      <w:r w:rsidR="00AD62D4">
        <w:t>y</w:t>
      </w:r>
      <w:r>
        <w:t xml:space="preserve"> </w:t>
      </w:r>
      <w:r w:rsidR="00AD62D4">
        <w:t xml:space="preserve">in three years </w:t>
      </w:r>
      <w:r>
        <w:t xml:space="preserve">on just a 12km stretch of road. </w:t>
      </w:r>
    </w:p>
    <w:p w:rsidR="009A7961" w:rsidRDefault="009A7961"/>
    <w:p w:rsidR="009A7961" w:rsidRPr="009A7961" w:rsidRDefault="009A7961">
      <w:pPr>
        <w:rPr>
          <w:b/>
        </w:rPr>
      </w:pPr>
      <w:r w:rsidRPr="009A7961">
        <w:rPr>
          <w:b/>
        </w:rPr>
        <w:t>Urban vs rural roads</w:t>
      </w:r>
    </w:p>
    <w:p w:rsidR="00CC1A6F" w:rsidRDefault="009A7961" w:rsidP="00CC1A6F">
      <w:r>
        <w:t xml:space="preserve">For the first time, this year’s report takes a challenging </w:t>
      </w:r>
      <w:r w:rsidR="0076156E">
        <w:t xml:space="preserve">initial </w:t>
      </w:r>
      <w:r>
        <w:t>step to analyse the safety of urban main roads. It finds that</w:t>
      </w:r>
      <w:r w:rsidR="00D64CD0">
        <w:t>,</w:t>
      </w:r>
      <w:r>
        <w:t xml:space="preserve"> while crash risk is similar for each country in Great Britain for both motorways and rural ‘A’ roads, risk is much higher on English urban ‘A’ roads than for </w:t>
      </w:r>
      <w:r w:rsidR="00CC1A6F">
        <w:t>Scottish and Welsh counterparts</w:t>
      </w:r>
      <w:r w:rsidR="000E1424">
        <w:t xml:space="preserve">. </w:t>
      </w:r>
      <w:r w:rsidR="003148B9">
        <w:t>Unsurprisingly, t</w:t>
      </w:r>
      <w:r w:rsidR="00CC1A6F">
        <w:t>he largest single cause of death on urban roads was crashes involving vulnerable road users</w:t>
      </w:r>
      <w:r w:rsidR="006036BC">
        <w:t xml:space="preserve"> – pedestrians, cyclists and motorcyclists</w:t>
      </w:r>
      <w:r w:rsidR="00CC1A6F">
        <w:t>. On rural roads, this was head-on crashes and on motorways the largest single cause was run-off road crashes.</w:t>
      </w:r>
    </w:p>
    <w:p w:rsidR="006D060C" w:rsidRDefault="006D060C" w:rsidP="00CC1A6F"/>
    <w:p w:rsidR="000E1424" w:rsidRDefault="003148B9" w:rsidP="00CC1A6F">
      <w:r>
        <w:t>The report acknowledges the complexity of urban road layouts and that it is difficult to capture levels of pedestrian and cyclist flow, and so recognises that more work must be done in this area to properly benchmark and compare urban network performance</w:t>
      </w:r>
      <w:r w:rsidR="00BC5DEF">
        <w:t>.</w:t>
      </w:r>
    </w:p>
    <w:p w:rsidR="00BC5DEF" w:rsidRDefault="00BC5DEF" w:rsidP="00C15CB7"/>
    <w:p w:rsidR="00BC5DEF" w:rsidRDefault="00BC5DEF" w:rsidP="00C15CB7">
      <w:r>
        <w:t>Kate Fuller, Acting Executive Director of the Road Safety Foundation said: “Our main road networks need to be safe.  So much of our travel is on these intensely used networks that any flaw in their in-built safety means tragedy sooner rather than later.</w:t>
      </w:r>
    </w:p>
    <w:p w:rsidR="00BC5DEF" w:rsidRDefault="00BC5DEF" w:rsidP="00C15CB7"/>
    <w:p w:rsidR="00BC5DEF" w:rsidRDefault="00BC5DEF" w:rsidP="00C15CB7">
      <w:r>
        <w:t>“Years of work in Scotland, coupled with widely adopted formal casualty reduction targets is delivering results, and Scotland’s main road network is now safer than England’s and significantly safer than that of Wales.</w:t>
      </w:r>
    </w:p>
    <w:p w:rsidR="00BC5DEF" w:rsidRDefault="00BC5DEF" w:rsidP="00C15CB7"/>
    <w:p w:rsidR="00BC5DEF" w:rsidRDefault="00BC5DEF" w:rsidP="00C15CB7">
      <w:r>
        <w:t>“For England to achieve similar results, the newly defined major road network – with more than four times as much risk as Highways England’s network – needs disciplined safety goals; and Government must release new funding from the successful Safer Road Fund to address the 75 persistently higher risk roads.”</w:t>
      </w:r>
    </w:p>
    <w:p w:rsidR="003148B9" w:rsidRDefault="003148B9" w:rsidP="00165912"/>
    <w:p w:rsidR="00165912" w:rsidRDefault="00540D0F" w:rsidP="00165912">
      <w:r>
        <w:t>Andy Watson CEO of Ageas Insurance said: “</w:t>
      </w:r>
      <w:r w:rsidR="006036BC">
        <w:t>A</w:t>
      </w:r>
      <w:r w:rsidR="00165912">
        <w:t xml:space="preserve">uthorities across Britain are making changes to their road networks as a direct consequence of the charity’s analysis and work in partnership with Ageas. </w:t>
      </w:r>
      <w:r w:rsidR="006036BC">
        <w:t xml:space="preserve">We’re pleased to see that </w:t>
      </w:r>
      <w:r w:rsidR="00165912">
        <w:t xml:space="preserve">Highways England has inspected </w:t>
      </w:r>
      <w:r w:rsidR="00AD62D4">
        <w:t xml:space="preserve">its </w:t>
      </w:r>
      <w:r w:rsidR="00165912">
        <w:t xml:space="preserve">entire network to measure its in-built safety and develop major investment </w:t>
      </w:r>
      <w:r w:rsidR="00165912">
        <w:lastRenderedPageBreak/>
        <w:t xml:space="preserve">plans. </w:t>
      </w:r>
      <w:r w:rsidR="006036BC">
        <w:t>And likewise that s</w:t>
      </w:r>
      <w:r w:rsidR="00165912">
        <w:t>ome 30 local authorities are implementi</w:t>
      </w:r>
      <w:r w:rsidR="00AD62D4">
        <w:t>ng improvements to 50 higher</w:t>
      </w:r>
      <w:r w:rsidR="00165912">
        <w:t xml:space="preserve"> risk ‘A’ roads.</w:t>
      </w:r>
    </w:p>
    <w:p w:rsidR="00165912" w:rsidRDefault="00165912" w:rsidP="00165912"/>
    <w:p w:rsidR="00165912" w:rsidRDefault="00C97DB5" w:rsidP="00165912">
      <w:r>
        <w:t>“</w:t>
      </w:r>
      <w:r w:rsidR="006036BC">
        <w:t xml:space="preserve">Having supported this report since 2012, however, it is disappointing to see that the number of people killed and seriously injured on our roads has flat lined in this time. </w:t>
      </w:r>
      <w:r w:rsidR="00165912">
        <w:t xml:space="preserve">The </w:t>
      </w:r>
      <w:r w:rsidR="006036BC">
        <w:t>M</w:t>
      </w:r>
      <w:r w:rsidR="00165912">
        <w:t xml:space="preserve">ajor </w:t>
      </w:r>
      <w:r w:rsidR="006036BC">
        <w:t>R</w:t>
      </w:r>
      <w:r w:rsidR="00165912">
        <w:t xml:space="preserve">oad </w:t>
      </w:r>
      <w:r w:rsidR="006036BC">
        <w:t>N</w:t>
      </w:r>
      <w:r w:rsidR="00165912">
        <w:t xml:space="preserve">etwork needs </w:t>
      </w:r>
      <w:r>
        <w:t xml:space="preserve">urgent improvement </w:t>
      </w:r>
      <w:r w:rsidR="006036BC">
        <w:t xml:space="preserve">with clear measurements and targets; </w:t>
      </w:r>
      <w:r>
        <w:t xml:space="preserve">and </w:t>
      </w:r>
      <w:r w:rsidR="00165912">
        <w:t xml:space="preserve">the 75 persistently higher risk </w:t>
      </w:r>
      <w:r>
        <w:t xml:space="preserve">roads </w:t>
      </w:r>
      <w:r w:rsidR="00165912">
        <w:t>need immediate attention. The Safer Road</w:t>
      </w:r>
      <w:r w:rsidR="00835181">
        <w:t>s</w:t>
      </w:r>
      <w:r w:rsidR="00165912">
        <w:t xml:space="preserve"> Fund has shown how quickly effective action can be taken.  </w:t>
      </w:r>
      <w:r w:rsidR="006036BC">
        <w:t xml:space="preserve">A </w:t>
      </w:r>
      <w:r w:rsidR="00AD62D4">
        <w:t xml:space="preserve">further </w:t>
      </w:r>
      <w:r w:rsidR="00165912">
        <w:t xml:space="preserve">tranche of funding </w:t>
      </w:r>
      <w:r w:rsidR="006036BC">
        <w:t xml:space="preserve">should be released </w:t>
      </w:r>
      <w:r w:rsidR="00165912">
        <w:t>to tackle these persistently higher risk roads without delay.</w:t>
      </w:r>
      <w:r>
        <w:t>”</w:t>
      </w:r>
    </w:p>
    <w:p w:rsidR="00540D0F" w:rsidRDefault="00540D0F" w:rsidP="00540D0F"/>
    <w:p w:rsidR="00EA75A5" w:rsidRDefault="00EA75A5" w:rsidP="00E75A75">
      <w:pPr>
        <w:rPr>
          <w:b/>
        </w:rPr>
      </w:pPr>
    </w:p>
    <w:p w:rsidR="006036BC" w:rsidRDefault="006036BC" w:rsidP="00E75A75">
      <w:pPr>
        <w:rPr>
          <w:b/>
        </w:rPr>
      </w:pPr>
    </w:p>
    <w:p w:rsidR="006036BC" w:rsidRDefault="006036BC" w:rsidP="00E75A75">
      <w:pPr>
        <w:rPr>
          <w:b/>
        </w:rPr>
      </w:pPr>
    </w:p>
    <w:p w:rsidR="006036BC" w:rsidRDefault="006036BC" w:rsidP="00E75A75">
      <w:pPr>
        <w:rPr>
          <w:b/>
        </w:rPr>
      </w:pPr>
    </w:p>
    <w:p w:rsidR="00E75A75" w:rsidRPr="001F5DF8" w:rsidRDefault="001F5DF8" w:rsidP="00E75A75">
      <w:pPr>
        <w:rPr>
          <w:b/>
        </w:rPr>
      </w:pPr>
      <w:r w:rsidRPr="001F5DF8">
        <w:rPr>
          <w:b/>
        </w:rPr>
        <w:t>N</w:t>
      </w:r>
      <w:r w:rsidR="00E75A75" w:rsidRPr="001F5DF8">
        <w:rPr>
          <w:b/>
        </w:rPr>
        <w:t>otes to editors</w:t>
      </w:r>
    </w:p>
    <w:p w:rsidR="00821509" w:rsidRPr="006036BC" w:rsidRDefault="00821509" w:rsidP="00821509">
      <w:pPr>
        <w:rPr>
          <w:sz w:val="16"/>
          <w:szCs w:val="16"/>
        </w:rPr>
      </w:pPr>
    </w:p>
    <w:p w:rsidR="005D2F8A" w:rsidRPr="004C7FCE" w:rsidRDefault="0097107F" w:rsidP="00E75A75">
      <w:pPr>
        <w:rPr>
          <w:sz w:val="16"/>
          <w:szCs w:val="16"/>
        </w:rPr>
      </w:pPr>
      <w:r w:rsidRPr="006036BC">
        <w:rPr>
          <w:i/>
          <w:sz w:val="16"/>
          <w:szCs w:val="16"/>
        </w:rPr>
        <w:t xml:space="preserve">How Safe Are You </w:t>
      </w:r>
      <w:r w:rsidR="00835181" w:rsidRPr="006036BC">
        <w:rPr>
          <w:i/>
          <w:sz w:val="16"/>
          <w:szCs w:val="16"/>
        </w:rPr>
        <w:t>o</w:t>
      </w:r>
      <w:r w:rsidRPr="006036BC">
        <w:rPr>
          <w:i/>
          <w:sz w:val="16"/>
          <w:szCs w:val="16"/>
        </w:rPr>
        <w:t>n Britain’s Main Road Networks?</w:t>
      </w:r>
      <w:r w:rsidR="00EA75A5" w:rsidRPr="006036BC">
        <w:rPr>
          <w:i/>
          <w:sz w:val="16"/>
          <w:szCs w:val="16"/>
        </w:rPr>
        <w:t xml:space="preserve"> </w:t>
      </w:r>
      <w:r w:rsidR="00EA75A5" w:rsidRPr="006036BC">
        <w:rPr>
          <w:sz w:val="16"/>
          <w:szCs w:val="16"/>
        </w:rPr>
        <w:t>is available under embargo here</w:t>
      </w:r>
      <w:r w:rsidR="004C7FCE">
        <w:rPr>
          <w:sz w:val="16"/>
          <w:szCs w:val="16"/>
        </w:rPr>
        <w:t>:</w:t>
      </w:r>
      <w:r w:rsidR="00EA75A5" w:rsidRPr="006036BC">
        <w:rPr>
          <w:sz w:val="16"/>
          <w:szCs w:val="16"/>
        </w:rPr>
        <w:t xml:space="preserve"> </w:t>
      </w:r>
      <w:hyperlink r:id="rId11" w:history="1">
        <w:r w:rsidR="004C7FCE" w:rsidRPr="004C7FCE">
          <w:rPr>
            <w:rStyle w:val="Hyperlink"/>
            <w:sz w:val="16"/>
            <w:szCs w:val="16"/>
          </w:rPr>
          <w:t>https://roadsafetyfoundation.org/gb-risk-mapping-2019-pre-launch-area/</w:t>
        </w:r>
      </w:hyperlink>
      <w:r w:rsidR="00EA75A5" w:rsidRPr="004C7FCE">
        <w:rPr>
          <w:sz w:val="16"/>
          <w:szCs w:val="16"/>
        </w:rPr>
        <w:t xml:space="preserve"> </w:t>
      </w:r>
    </w:p>
    <w:p w:rsidR="00236DD2" w:rsidRPr="006036BC" w:rsidRDefault="00236DD2" w:rsidP="00A61DFE">
      <w:pPr>
        <w:rPr>
          <w:sz w:val="16"/>
          <w:szCs w:val="16"/>
        </w:rPr>
      </w:pPr>
    </w:p>
    <w:p w:rsidR="00236DD2" w:rsidRPr="006036BC" w:rsidRDefault="00236DD2" w:rsidP="00A61DFE">
      <w:pPr>
        <w:rPr>
          <w:sz w:val="16"/>
          <w:szCs w:val="16"/>
        </w:rPr>
      </w:pPr>
      <w:r w:rsidRPr="006036BC">
        <w:rPr>
          <w:sz w:val="16"/>
          <w:szCs w:val="16"/>
        </w:rPr>
        <w:t>In 2017:</w:t>
      </w:r>
    </w:p>
    <w:p w:rsidR="00236DD2" w:rsidRPr="006036BC" w:rsidRDefault="00236DD2" w:rsidP="00A34BCF">
      <w:pPr>
        <w:pStyle w:val="ListParagraph"/>
        <w:numPr>
          <w:ilvl w:val="0"/>
          <w:numId w:val="4"/>
        </w:numPr>
        <w:rPr>
          <w:rFonts w:ascii="Verdana" w:hAnsi="Verdana"/>
          <w:sz w:val="16"/>
          <w:szCs w:val="16"/>
        </w:rPr>
      </w:pPr>
      <w:r w:rsidRPr="006036BC">
        <w:rPr>
          <w:rFonts w:ascii="Verdana" w:hAnsi="Verdana"/>
          <w:sz w:val="16"/>
          <w:szCs w:val="16"/>
        </w:rPr>
        <w:t>1,793 people were killed on Britain’s roads, a figure that has changed little since 2011 despite ongoing improvements in the safety of vehicles on the road.</w:t>
      </w:r>
    </w:p>
    <w:p w:rsidR="00236DD2" w:rsidRPr="006036BC" w:rsidRDefault="00236DD2" w:rsidP="00B20CC1">
      <w:pPr>
        <w:pStyle w:val="ListParagraph"/>
        <w:numPr>
          <w:ilvl w:val="0"/>
          <w:numId w:val="2"/>
        </w:numPr>
        <w:rPr>
          <w:rFonts w:ascii="Verdana" w:hAnsi="Verdana"/>
          <w:sz w:val="16"/>
          <w:szCs w:val="16"/>
        </w:rPr>
      </w:pPr>
      <w:r w:rsidRPr="006036BC">
        <w:rPr>
          <w:rFonts w:ascii="Verdana" w:hAnsi="Verdana"/>
          <w:sz w:val="16"/>
          <w:szCs w:val="16"/>
        </w:rPr>
        <w:t>73 people were killed or seriously injured on average on Britain’s roads every day</w:t>
      </w:r>
    </w:p>
    <w:p w:rsidR="00236DD2" w:rsidRPr="006036BC" w:rsidRDefault="00236DD2" w:rsidP="00B20CC1">
      <w:pPr>
        <w:pStyle w:val="ListParagraph"/>
        <w:numPr>
          <w:ilvl w:val="0"/>
          <w:numId w:val="2"/>
        </w:numPr>
        <w:rPr>
          <w:rFonts w:ascii="Verdana" w:hAnsi="Verdana"/>
          <w:sz w:val="16"/>
          <w:szCs w:val="16"/>
        </w:rPr>
      </w:pPr>
      <w:r w:rsidRPr="006036BC">
        <w:rPr>
          <w:rFonts w:ascii="Verdana" w:hAnsi="Verdana"/>
          <w:sz w:val="16"/>
          <w:szCs w:val="16"/>
        </w:rPr>
        <w:t>The cost of road crashes to society was £35 billion</w:t>
      </w:r>
    </w:p>
    <w:p w:rsidR="00236DD2" w:rsidRPr="006036BC" w:rsidRDefault="00236DD2" w:rsidP="00B20CC1">
      <w:pPr>
        <w:pStyle w:val="ListParagraph"/>
        <w:numPr>
          <w:ilvl w:val="0"/>
          <w:numId w:val="2"/>
        </w:numPr>
        <w:rPr>
          <w:rFonts w:ascii="Verdana" w:hAnsi="Verdana"/>
          <w:sz w:val="16"/>
          <w:szCs w:val="16"/>
        </w:rPr>
      </w:pPr>
      <w:r w:rsidRPr="006036BC">
        <w:rPr>
          <w:rFonts w:ascii="Verdana" w:hAnsi="Verdana"/>
          <w:sz w:val="16"/>
          <w:szCs w:val="16"/>
        </w:rPr>
        <w:t xml:space="preserve">Motorcycle fatalities increased by 9% from 319 in 2016 to 349 </w:t>
      </w:r>
    </w:p>
    <w:p w:rsidR="00236DD2" w:rsidRPr="006036BC" w:rsidRDefault="00236DD2" w:rsidP="00B20CC1">
      <w:pPr>
        <w:pStyle w:val="ListParagraph"/>
        <w:numPr>
          <w:ilvl w:val="0"/>
          <w:numId w:val="2"/>
        </w:numPr>
        <w:rPr>
          <w:rFonts w:ascii="Verdana" w:hAnsi="Verdana"/>
          <w:sz w:val="16"/>
          <w:szCs w:val="16"/>
        </w:rPr>
      </w:pPr>
      <w:r w:rsidRPr="006036BC">
        <w:rPr>
          <w:rFonts w:ascii="Verdana" w:hAnsi="Verdana"/>
          <w:sz w:val="16"/>
          <w:szCs w:val="16"/>
        </w:rPr>
        <w:t>60% of fatal casualties occurred on rural roads</w:t>
      </w:r>
    </w:p>
    <w:p w:rsidR="00236DD2" w:rsidRPr="006036BC" w:rsidRDefault="00236DD2" w:rsidP="00B20CC1">
      <w:pPr>
        <w:pStyle w:val="ListParagraph"/>
        <w:numPr>
          <w:ilvl w:val="0"/>
          <w:numId w:val="2"/>
        </w:numPr>
        <w:rPr>
          <w:rFonts w:ascii="Verdana" w:hAnsi="Verdana"/>
          <w:sz w:val="16"/>
          <w:szCs w:val="16"/>
        </w:rPr>
      </w:pPr>
      <w:r w:rsidRPr="006036BC">
        <w:rPr>
          <w:rFonts w:ascii="Verdana" w:hAnsi="Verdana"/>
          <w:sz w:val="16"/>
          <w:szCs w:val="16"/>
        </w:rPr>
        <w:t>5.5% of fatal casualties occurred on motorways</w:t>
      </w:r>
    </w:p>
    <w:p w:rsidR="005D2F8A" w:rsidRDefault="005D2F8A" w:rsidP="00E75A75"/>
    <w:p w:rsidR="00E75A75" w:rsidRPr="009A7961" w:rsidRDefault="00E75A75" w:rsidP="00E75A75">
      <w:pPr>
        <w:rPr>
          <w:sz w:val="16"/>
          <w:szCs w:val="16"/>
        </w:rPr>
      </w:pPr>
      <w:r w:rsidRPr="009A7961">
        <w:rPr>
          <w:sz w:val="16"/>
          <w:szCs w:val="16"/>
        </w:rPr>
        <w:t>For more information, please contact the following media teams:</w:t>
      </w:r>
    </w:p>
    <w:p w:rsidR="00E75A75" w:rsidRPr="009A7961" w:rsidRDefault="00E75A75" w:rsidP="00E75A75">
      <w:pPr>
        <w:rPr>
          <w:sz w:val="16"/>
          <w:szCs w:val="16"/>
        </w:rPr>
      </w:pPr>
      <w:r w:rsidRPr="009A7961">
        <w:rPr>
          <w:sz w:val="16"/>
          <w:szCs w:val="16"/>
        </w:rPr>
        <w:t xml:space="preserve">- </w:t>
      </w:r>
    </w:p>
    <w:p w:rsidR="004C7FCE" w:rsidRDefault="00E75A75" w:rsidP="00E75A75">
      <w:pPr>
        <w:rPr>
          <w:sz w:val="16"/>
          <w:szCs w:val="16"/>
        </w:rPr>
      </w:pPr>
      <w:r w:rsidRPr="009A7961">
        <w:rPr>
          <w:sz w:val="16"/>
          <w:szCs w:val="16"/>
        </w:rPr>
        <w:t>-</w:t>
      </w:r>
      <w:r w:rsidRPr="009A7961">
        <w:rPr>
          <w:sz w:val="16"/>
          <w:szCs w:val="16"/>
        </w:rPr>
        <w:tab/>
        <w:t xml:space="preserve">Road Safety Foundation: 020 7808 7997 </w:t>
      </w:r>
      <w:hyperlink r:id="rId12" w:history="1">
        <w:r w:rsidR="004C7FCE" w:rsidRPr="00930359">
          <w:rPr>
            <w:rStyle w:val="Hyperlink"/>
            <w:sz w:val="16"/>
            <w:szCs w:val="16"/>
          </w:rPr>
          <w:t>becky.hadley@hadstrong.com</w:t>
        </w:r>
      </w:hyperlink>
    </w:p>
    <w:p w:rsidR="00FB4FEA" w:rsidRDefault="00FB4FEA" w:rsidP="00E75A75">
      <w:pPr>
        <w:rPr>
          <w:sz w:val="16"/>
          <w:szCs w:val="16"/>
        </w:rPr>
      </w:pPr>
      <w:r>
        <w:rPr>
          <w:sz w:val="16"/>
          <w:szCs w:val="16"/>
        </w:rPr>
        <w:t xml:space="preserve">- </w:t>
      </w:r>
      <w:r>
        <w:rPr>
          <w:sz w:val="16"/>
          <w:szCs w:val="16"/>
        </w:rPr>
        <w:tab/>
      </w:r>
      <w:r w:rsidRPr="009A7961">
        <w:rPr>
          <w:sz w:val="16"/>
          <w:szCs w:val="16"/>
        </w:rPr>
        <w:t xml:space="preserve">Ageas UK: 02380 313147  </w:t>
      </w:r>
      <w:hyperlink r:id="rId13" w:history="1">
        <w:r w:rsidR="004C7FCE" w:rsidRPr="00930359">
          <w:rPr>
            <w:rStyle w:val="Hyperlink"/>
            <w:sz w:val="16"/>
            <w:szCs w:val="16"/>
          </w:rPr>
          <w:t>press.uk@ageas.co.uk</w:t>
        </w:r>
      </w:hyperlink>
    </w:p>
    <w:p w:rsidR="00E75A75" w:rsidRPr="009A7961" w:rsidRDefault="00E75A75" w:rsidP="00E75A75">
      <w:pPr>
        <w:rPr>
          <w:sz w:val="16"/>
          <w:szCs w:val="16"/>
        </w:rPr>
      </w:pPr>
    </w:p>
    <w:p w:rsidR="00E75A75" w:rsidRPr="006036BC" w:rsidRDefault="00E75A75" w:rsidP="00E75A75">
      <w:pPr>
        <w:rPr>
          <w:b/>
          <w:sz w:val="16"/>
          <w:szCs w:val="16"/>
        </w:rPr>
      </w:pPr>
      <w:r w:rsidRPr="006036BC">
        <w:rPr>
          <w:b/>
          <w:sz w:val="16"/>
          <w:szCs w:val="16"/>
        </w:rPr>
        <w:t>About Ageas</w:t>
      </w:r>
    </w:p>
    <w:p w:rsidR="00962A22" w:rsidRPr="00962A22" w:rsidRDefault="00962A22" w:rsidP="00962A22">
      <w:pPr>
        <w:rPr>
          <w:sz w:val="16"/>
          <w:szCs w:val="16"/>
        </w:rPr>
      </w:pPr>
      <w:r w:rsidRPr="00962A22">
        <w:rPr>
          <w:sz w:val="16"/>
          <w:szCs w:val="16"/>
        </w:rPr>
        <w:t>Ageas is one of the largest general insurers in the United Kingdom, providing insurance to around five million customers. It offers car and home, travel and small business insurance through brokers, affinity partners and its own brands. Customers are able to buy Ageas branded car and home insurance direct from ageas.co.uk. Ageas UK holds a majority share in Tesco Underwriting, providing home and motor insurance to Tesco Bank customers. Ageas is a wholly owned subsidiary of Ageas Group, which is listed on the Belgium stock exchange.</w:t>
      </w:r>
    </w:p>
    <w:p w:rsidR="003B6D4E" w:rsidRDefault="00E75A75" w:rsidP="00E75A75">
      <w:pPr>
        <w:rPr>
          <w:sz w:val="16"/>
          <w:szCs w:val="16"/>
        </w:rPr>
      </w:pPr>
      <w:r w:rsidRPr="009A7961">
        <w:rPr>
          <w:sz w:val="16"/>
          <w:szCs w:val="16"/>
        </w:rPr>
        <w:t xml:space="preserve">For more information visit </w:t>
      </w:r>
      <w:hyperlink r:id="rId14" w:history="1">
        <w:r w:rsidR="003B6D4E" w:rsidRPr="00930359">
          <w:rPr>
            <w:rStyle w:val="Hyperlink"/>
            <w:sz w:val="16"/>
            <w:szCs w:val="16"/>
          </w:rPr>
          <w:t>www.ageas.co.uk</w:t>
        </w:r>
      </w:hyperlink>
      <w:r w:rsidRPr="009A7961">
        <w:rPr>
          <w:sz w:val="16"/>
          <w:szCs w:val="16"/>
        </w:rPr>
        <w:t xml:space="preserve"> </w:t>
      </w:r>
      <w:hyperlink r:id="rId15" w:history="1">
        <w:r w:rsidRPr="003B6D4E">
          <w:rPr>
            <w:rStyle w:val="Hyperlink"/>
            <w:sz w:val="16"/>
            <w:szCs w:val="16"/>
          </w:rPr>
          <w:t>@</w:t>
        </w:r>
        <w:proofErr w:type="spellStart"/>
        <w:r w:rsidRPr="003B6D4E">
          <w:rPr>
            <w:rStyle w:val="Hyperlink"/>
            <w:sz w:val="16"/>
            <w:szCs w:val="16"/>
          </w:rPr>
          <w:t>Agea</w:t>
        </w:r>
        <w:r w:rsidRPr="003B6D4E">
          <w:rPr>
            <w:rStyle w:val="Hyperlink"/>
            <w:sz w:val="16"/>
            <w:szCs w:val="16"/>
          </w:rPr>
          <w:t>s</w:t>
        </w:r>
        <w:r w:rsidRPr="003B6D4E">
          <w:rPr>
            <w:rStyle w:val="Hyperlink"/>
            <w:sz w:val="16"/>
            <w:szCs w:val="16"/>
          </w:rPr>
          <w:t>UK</w:t>
        </w:r>
        <w:proofErr w:type="spellEnd"/>
      </w:hyperlink>
    </w:p>
    <w:p w:rsidR="00E75A75" w:rsidRPr="009A7961" w:rsidRDefault="00E75A75" w:rsidP="00E75A75">
      <w:pPr>
        <w:rPr>
          <w:sz w:val="16"/>
          <w:szCs w:val="16"/>
        </w:rPr>
      </w:pPr>
    </w:p>
    <w:p w:rsidR="00E75A75" w:rsidRPr="006036BC" w:rsidRDefault="00E75A75" w:rsidP="00E75A75">
      <w:pPr>
        <w:rPr>
          <w:b/>
          <w:sz w:val="16"/>
          <w:szCs w:val="16"/>
        </w:rPr>
      </w:pPr>
      <w:r w:rsidRPr="006036BC">
        <w:rPr>
          <w:b/>
          <w:sz w:val="16"/>
          <w:szCs w:val="16"/>
        </w:rPr>
        <w:t xml:space="preserve">About the Road Safety Foundation (RSF) </w:t>
      </w:r>
    </w:p>
    <w:p w:rsidR="00E75A75" w:rsidRPr="009A7961" w:rsidRDefault="00E75A75" w:rsidP="00E75A75">
      <w:pPr>
        <w:rPr>
          <w:sz w:val="16"/>
          <w:szCs w:val="16"/>
        </w:rPr>
      </w:pPr>
      <w:r w:rsidRPr="009A7961">
        <w:rPr>
          <w:sz w:val="16"/>
          <w:szCs w:val="16"/>
        </w:rPr>
        <w:t xml:space="preserve">The Road Safety Foundation is a UK charity advocating road casualty reduction through simultaneous action on all three components of the safe road system: roads, vehicles and behaviour.  </w:t>
      </w:r>
    </w:p>
    <w:p w:rsidR="004C7FCE" w:rsidRDefault="00E75A75" w:rsidP="00E75A75">
      <w:pPr>
        <w:rPr>
          <w:sz w:val="16"/>
          <w:szCs w:val="16"/>
        </w:rPr>
      </w:pPr>
      <w:r w:rsidRPr="009A7961">
        <w:rPr>
          <w:sz w:val="16"/>
          <w:szCs w:val="16"/>
        </w:rPr>
        <w:t xml:space="preserve">For more information visit </w:t>
      </w:r>
      <w:hyperlink r:id="rId16" w:history="1">
        <w:r w:rsidR="004C7FCE" w:rsidRPr="00930359">
          <w:rPr>
            <w:rStyle w:val="Hyperlink"/>
            <w:sz w:val="16"/>
            <w:szCs w:val="16"/>
          </w:rPr>
          <w:t>www.roadsafetyfoundation.org</w:t>
        </w:r>
      </w:hyperlink>
      <w:r w:rsidRPr="009A7961">
        <w:rPr>
          <w:sz w:val="16"/>
          <w:szCs w:val="16"/>
        </w:rPr>
        <w:t xml:space="preserve"> </w:t>
      </w:r>
      <w:hyperlink r:id="rId17" w:history="1">
        <w:r w:rsidRPr="003B6D4E">
          <w:rPr>
            <w:rStyle w:val="Hyperlink"/>
            <w:sz w:val="16"/>
            <w:szCs w:val="16"/>
          </w:rPr>
          <w:t>@</w:t>
        </w:r>
        <w:proofErr w:type="spellStart"/>
        <w:r w:rsidRPr="003B6D4E">
          <w:rPr>
            <w:rStyle w:val="Hyperlink"/>
            <w:sz w:val="16"/>
            <w:szCs w:val="16"/>
          </w:rPr>
          <w:t>Saf</w:t>
        </w:r>
        <w:r w:rsidRPr="003B6D4E">
          <w:rPr>
            <w:rStyle w:val="Hyperlink"/>
            <w:sz w:val="16"/>
            <w:szCs w:val="16"/>
          </w:rPr>
          <w:t>e</w:t>
        </w:r>
        <w:r w:rsidRPr="003B6D4E">
          <w:rPr>
            <w:rStyle w:val="Hyperlink"/>
            <w:sz w:val="16"/>
            <w:szCs w:val="16"/>
          </w:rPr>
          <w:t>RoadDesign</w:t>
        </w:r>
        <w:proofErr w:type="spellEnd"/>
      </w:hyperlink>
    </w:p>
    <w:p w:rsidR="00E75A75" w:rsidRPr="009A7961" w:rsidRDefault="00E75A75" w:rsidP="00E75A75">
      <w:pPr>
        <w:rPr>
          <w:sz w:val="16"/>
          <w:szCs w:val="16"/>
        </w:rPr>
      </w:pPr>
      <w:r w:rsidRPr="009A7961">
        <w:rPr>
          <w:sz w:val="16"/>
          <w:szCs w:val="16"/>
        </w:rPr>
        <w:t xml:space="preserve"> </w:t>
      </w:r>
    </w:p>
    <w:p w:rsidR="00E75A75" w:rsidRPr="009A7961" w:rsidRDefault="00E75A75" w:rsidP="00E75A75">
      <w:pPr>
        <w:rPr>
          <w:sz w:val="16"/>
          <w:szCs w:val="16"/>
        </w:rPr>
      </w:pPr>
    </w:p>
    <w:p w:rsidR="00E75A75" w:rsidRPr="009A7961" w:rsidRDefault="00E75A75">
      <w:pPr>
        <w:rPr>
          <w:sz w:val="16"/>
          <w:szCs w:val="16"/>
        </w:rPr>
      </w:pPr>
      <w:bookmarkStart w:id="2" w:name="_GoBack"/>
      <w:bookmarkEnd w:id="2"/>
    </w:p>
    <w:sectPr w:rsidR="00E75A75" w:rsidRPr="009A7961" w:rsidSect="00512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49F" w:rsidRDefault="00BB749F" w:rsidP="00B20CC1">
      <w:r>
        <w:separator/>
      </w:r>
    </w:p>
  </w:endnote>
  <w:endnote w:type="continuationSeparator" w:id="0">
    <w:p w:rsidR="00BB749F" w:rsidRDefault="00BB749F" w:rsidP="00B2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49F" w:rsidRDefault="00BB749F" w:rsidP="00B20CC1">
      <w:r>
        <w:separator/>
      </w:r>
    </w:p>
  </w:footnote>
  <w:footnote w:type="continuationSeparator" w:id="0">
    <w:p w:rsidR="00BB749F" w:rsidRDefault="00BB749F" w:rsidP="00B2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3DC"/>
    <w:multiLevelType w:val="hybridMultilevel"/>
    <w:tmpl w:val="2242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73F4"/>
    <w:multiLevelType w:val="hybridMultilevel"/>
    <w:tmpl w:val="5832C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76E4"/>
    <w:multiLevelType w:val="hybridMultilevel"/>
    <w:tmpl w:val="CD1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E0C"/>
    <w:multiLevelType w:val="hybridMultilevel"/>
    <w:tmpl w:val="1C4A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B4278"/>
    <w:multiLevelType w:val="hybridMultilevel"/>
    <w:tmpl w:val="D240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B1E12"/>
    <w:multiLevelType w:val="hybridMultilevel"/>
    <w:tmpl w:val="8C6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40326"/>
    <w:multiLevelType w:val="hybridMultilevel"/>
    <w:tmpl w:val="7B48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22F1B"/>
    <w:multiLevelType w:val="multilevel"/>
    <w:tmpl w:val="9360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77356"/>
    <w:multiLevelType w:val="hybridMultilevel"/>
    <w:tmpl w:val="D240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0"/>
    <w:rsid w:val="0007777A"/>
    <w:rsid w:val="000B42DB"/>
    <w:rsid w:val="000D708B"/>
    <w:rsid w:val="000E1424"/>
    <w:rsid w:val="000F37EC"/>
    <w:rsid w:val="000F403D"/>
    <w:rsid w:val="00165912"/>
    <w:rsid w:val="001F5DF8"/>
    <w:rsid w:val="00236DD2"/>
    <w:rsid w:val="00270D35"/>
    <w:rsid w:val="002D6763"/>
    <w:rsid w:val="003148B9"/>
    <w:rsid w:val="003B6D4E"/>
    <w:rsid w:val="00400364"/>
    <w:rsid w:val="00431C19"/>
    <w:rsid w:val="00454D58"/>
    <w:rsid w:val="00490F84"/>
    <w:rsid w:val="004960B7"/>
    <w:rsid w:val="004B2EDD"/>
    <w:rsid w:val="004C7FCE"/>
    <w:rsid w:val="004E06B4"/>
    <w:rsid w:val="0051200B"/>
    <w:rsid w:val="00522D3E"/>
    <w:rsid w:val="00540D0F"/>
    <w:rsid w:val="005442DA"/>
    <w:rsid w:val="005A7AB2"/>
    <w:rsid w:val="005D2F8A"/>
    <w:rsid w:val="006036BC"/>
    <w:rsid w:val="00685C7A"/>
    <w:rsid w:val="006B7EAE"/>
    <w:rsid w:val="006D060C"/>
    <w:rsid w:val="006E2414"/>
    <w:rsid w:val="007146F9"/>
    <w:rsid w:val="00733CBD"/>
    <w:rsid w:val="0076156E"/>
    <w:rsid w:val="00792B15"/>
    <w:rsid w:val="007B60AF"/>
    <w:rsid w:val="00821509"/>
    <w:rsid w:val="00835181"/>
    <w:rsid w:val="00894889"/>
    <w:rsid w:val="008B080B"/>
    <w:rsid w:val="00952750"/>
    <w:rsid w:val="009563C8"/>
    <w:rsid w:val="00962A22"/>
    <w:rsid w:val="0097107F"/>
    <w:rsid w:val="009A7961"/>
    <w:rsid w:val="009C4C2E"/>
    <w:rsid w:val="009E3085"/>
    <w:rsid w:val="00A34BCF"/>
    <w:rsid w:val="00A61DFE"/>
    <w:rsid w:val="00AC10FA"/>
    <w:rsid w:val="00AC1DAD"/>
    <w:rsid w:val="00AD62D4"/>
    <w:rsid w:val="00AF4A0D"/>
    <w:rsid w:val="00B075BC"/>
    <w:rsid w:val="00B20CC1"/>
    <w:rsid w:val="00B437AD"/>
    <w:rsid w:val="00B97271"/>
    <w:rsid w:val="00BA6E43"/>
    <w:rsid w:val="00BB370B"/>
    <w:rsid w:val="00BB749F"/>
    <w:rsid w:val="00BC5DEF"/>
    <w:rsid w:val="00C15CB7"/>
    <w:rsid w:val="00C62AD5"/>
    <w:rsid w:val="00C86FE5"/>
    <w:rsid w:val="00C97DB5"/>
    <w:rsid w:val="00CC1A6F"/>
    <w:rsid w:val="00D1551F"/>
    <w:rsid w:val="00D539C8"/>
    <w:rsid w:val="00D61933"/>
    <w:rsid w:val="00D64CD0"/>
    <w:rsid w:val="00D93AFA"/>
    <w:rsid w:val="00DC18A1"/>
    <w:rsid w:val="00E75A75"/>
    <w:rsid w:val="00E92173"/>
    <w:rsid w:val="00EA75A5"/>
    <w:rsid w:val="00EE21E8"/>
    <w:rsid w:val="00EF2490"/>
    <w:rsid w:val="00F669A0"/>
    <w:rsid w:val="00FB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4A7"/>
  <w15:docId w15:val="{388E6938-B511-4079-A1AC-9E05A223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750"/>
  </w:style>
  <w:style w:type="paragraph" w:styleId="Heading4">
    <w:name w:val="heading 4"/>
    <w:basedOn w:val="Normal"/>
    <w:next w:val="Normal"/>
    <w:link w:val="Heading4Char"/>
    <w:uiPriority w:val="9"/>
    <w:unhideWhenUsed/>
    <w:qFormat/>
    <w:rsid w:val="006D060C"/>
    <w:pPr>
      <w:keepNext/>
      <w:keepLines/>
      <w:spacing w:before="40"/>
      <w:outlineLvl w:val="3"/>
    </w:pPr>
    <w:rPr>
      <w:rFonts w:asciiTheme="majorHAnsi" w:eastAsiaTheme="majorEastAsia" w:hAnsiTheme="majorHAnsi" w:cstheme="majorBidi"/>
      <w:i/>
      <w:iCs/>
      <w:color w:val="000000" w:themeColor="text1"/>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50"/>
    <w:rPr>
      <w:rFonts w:ascii="Tahoma" w:hAnsi="Tahoma" w:cs="Tahoma"/>
      <w:sz w:val="16"/>
      <w:szCs w:val="16"/>
    </w:rPr>
  </w:style>
  <w:style w:type="character" w:customStyle="1" w:styleId="BalloonTextChar">
    <w:name w:val="Balloon Text Char"/>
    <w:basedOn w:val="DefaultParagraphFont"/>
    <w:link w:val="BalloonText"/>
    <w:uiPriority w:val="99"/>
    <w:semiHidden/>
    <w:rsid w:val="00952750"/>
    <w:rPr>
      <w:rFonts w:ascii="Tahoma" w:hAnsi="Tahoma" w:cs="Tahoma"/>
      <w:sz w:val="16"/>
      <w:szCs w:val="16"/>
    </w:rPr>
  </w:style>
  <w:style w:type="table" w:styleId="TableGrid">
    <w:name w:val="Table Grid"/>
    <w:basedOn w:val="TableNormal"/>
    <w:uiPriority w:val="59"/>
    <w:rsid w:val="000D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0CC1"/>
    <w:pPr>
      <w:spacing w:after="120"/>
      <w:ind w:left="720"/>
      <w:contextualSpacing/>
    </w:pPr>
    <w:rPr>
      <w:rFonts w:ascii="Arial" w:eastAsia="Times New Roman" w:hAnsi="Arial" w:cs="Times New Roman"/>
      <w:sz w:val="22"/>
      <w:szCs w:val="24"/>
      <w:lang w:eastAsia="en-GB"/>
    </w:rPr>
  </w:style>
  <w:style w:type="paragraph" w:styleId="FootnoteText">
    <w:name w:val="footnote text"/>
    <w:basedOn w:val="Normal"/>
    <w:link w:val="FootnoteTextChar"/>
    <w:uiPriority w:val="99"/>
    <w:unhideWhenUsed/>
    <w:rsid w:val="00B20CC1"/>
    <w:pPr>
      <w:spacing w:after="120"/>
    </w:pPr>
    <w:rPr>
      <w:rFonts w:ascii="Arial" w:eastAsia="Times New Roman" w:hAnsi="Arial" w:cs="Times New Roman"/>
      <w:lang w:eastAsia="en-GB"/>
    </w:rPr>
  </w:style>
  <w:style w:type="character" w:customStyle="1" w:styleId="FootnoteTextChar">
    <w:name w:val="Footnote Text Char"/>
    <w:basedOn w:val="DefaultParagraphFont"/>
    <w:link w:val="FootnoteText"/>
    <w:uiPriority w:val="99"/>
    <w:rsid w:val="00B20CC1"/>
    <w:rPr>
      <w:rFonts w:ascii="Arial" w:eastAsia="Times New Roman" w:hAnsi="Arial" w:cs="Times New Roman"/>
      <w:lang w:eastAsia="en-GB"/>
    </w:rPr>
  </w:style>
  <w:style w:type="character" w:styleId="FootnoteReference">
    <w:name w:val="footnote reference"/>
    <w:basedOn w:val="DefaultParagraphFont"/>
    <w:uiPriority w:val="99"/>
    <w:semiHidden/>
    <w:unhideWhenUsed/>
    <w:rsid w:val="00B20CC1"/>
    <w:rPr>
      <w:vertAlign w:val="superscript"/>
    </w:rPr>
  </w:style>
  <w:style w:type="character" w:customStyle="1" w:styleId="ListParagraphChar">
    <w:name w:val="List Paragraph Char"/>
    <w:basedOn w:val="DefaultParagraphFont"/>
    <w:link w:val="ListParagraph"/>
    <w:uiPriority w:val="34"/>
    <w:locked/>
    <w:rsid w:val="00B20CC1"/>
    <w:rPr>
      <w:rFonts w:ascii="Arial" w:eastAsia="Times New Roman" w:hAnsi="Arial" w:cs="Times New Roman"/>
      <w:sz w:val="22"/>
      <w:szCs w:val="24"/>
      <w:lang w:eastAsia="en-GB"/>
    </w:rPr>
  </w:style>
  <w:style w:type="character" w:styleId="CommentReference">
    <w:name w:val="annotation reference"/>
    <w:basedOn w:val="DefaultParagraphFont"/>
    <w:uiPriority w:val="99"/>
    <w:semiHidden/>
    <w:unhideWhenUsed/>
    <w:rsid w:val="00C86FE5"/>
    <w:rPr>
      <w:sz w:val="16"/>
      <w:szCs w:val="16"/>
    </w:rPr>
  </w:style>
  <w:style w:type="character" w:customStyle="1" w:styleId="Heading4Char">
    <w:name w:val="Heading 4 Char"/>
    <w:basedOn w:val="DefaultParagraphFont"/>
    <w:link w:val="Heading4"/>
    <w:uiPriority w:val="9"/>
    <w:rsid w:val="006D060C"/>
    <w:rPr>
      <w:rFonts w:asciiTheme="majorHAnsi" w:eastAsiaTheme="majorEastAsia" w:hAnsiTheme="majorHAnsi" w:cstheme="majorBidi"/>
      <w:i/>
      <w:iCs/>
      <w:color w:val="000000" w:themeColor="text1"/>
      <w:sz w:val="22"/>
      <w:szCs w:val="24"/>
      <w:lang w:eastAsia="en-GB"/>
    </w:rPr>
  </w:style>
  <w:style w:type="paragraph" w:styleId="CommentText">
    <w:name w:val="annotation text"/>
    <w:basedOn w:val="Normal"/>
    <w:link w:val="CommentTextChar"/>
    <w:uiPriority w:val="99"/>
    <w:semiHidden/>
    <w:unhideWhenUsed/>
    <w:rsid w:val="00821509"/>
  </w:style>
  <w:style w:type="character" w:customStyle="1" w:styleId="CommentTextChar">
    <w:name w:val="Comment Text Char"/>
    <w:basedOn w:val="DefaultParagraphFont"/>
    <w:link w:val="CommentText"/>
    <w:uiPriority w:val="99"/>
    <w:semiHidden/>
    <w:rsid w:val="00821509"/>
  </w:style>
  <w:style w:type="character" w:styleId="Hyperlink">
    <w:name w:val="Hyperlink"/>
    <w:basedOn w:val="DefaultParagraphFont"/>
    <w:uiPriority w:val="99"/>
    <w:unhideWhenUsed/>
    <w:rsid w:val="00236DD2"/>
    <w:rPr>
      <w:color w:val="0000FF" w:themeColor="hyperlink"/>
      <w:u w:val="single"/>
    </w:rPr>
  </w:style>
  <w:style w:type="character" w:styleId="UnresolvedMention">
    <w:name w:val="Unresolved Mention"/>
    <w:basedOn w:val="DefaultParagraphFont"/>
    <w:uiPriority w:val="99"/>
    <w:semiHidden/>
    <w:unhideWhenUsed/>
    <w:rsid w:val="004C7FCE"/>
    <w:rPr>
      <w:color w:val="605E5C"/>
      <w:shd w:val="clear" w:color="auto" w:fill="E1DFDD"/>
    </w:rPr>
  </w:style>
  <w:style w:type="character" w:styleId="FollowedHyperlink">
    <w:name w:val="FollowedHyperlink"/>
    <w:basedOn w:val="DefaultParagraphFont"/>
    <w:uiPriority w:val="99"/>
    <w:semiHidden/>
    <w:unhideWhenUsed/>
    <w:rsid w:val="003B6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9386">
      <w:bodyDiv w:val="1"/>
      <w:marLeft w:val="0"/>
      <w:marRight w:val="0"/>
      <w:marTop w:val="0"/>
      <w:marBottom w:val="0"/>
      <w:divBdr>
        <w:top w:val="none" w:sz="0" w:space="0" w:color="auto"/>
        <w:left w:val="none" w:sz="0" w:space="0" w:color="auto"/>
        <w:bottom w:val="none" w:sz="0" w:space="0" w:color="auto"/>
        <w:right w:val="none" w:sz="0" w:space="0" w:color="auto"/>
      </w:divBdr>
    </w:div>
    <w:div w:id="385102539">
      <w:bodyDiv w:val="1"/>
      <w:marLeft w:val="0"/>
      <w:marRight w:val="0"/>
      <w:marTop w:val="0"/>
      <w:marBottom w:val="0"/>
      <w:divBdr>
        <w:top w:val="none" w:sz="0" w:space="0" w:color="auto"/>
        <w:left w:val="none" w:sz="0" w:space="0" w:color="auto"/>
        <w:bottom w:val="none" w:sz="0" w:space="0" w:color="auto"/>
        <w:right w:val="none" w:sz="0" w:space="0" w:color="auto"/>
      </w:divBdr>
    </w:div>
    <w:div w:id="629825677">
      <w:bodyDiv w:val="1"/>
      <w:marLeft w:val="0"/>
      <w:marRight w:val="0"/>
      <w:marTop w:val="0"/>
      <w:marBottom w:val="0"/>
      <w:divBdr>
        <w:top w:val="none" w:sz="0" w:space="0" w:color="auto"/>
        <w:left w:val="none" w:sz="0" w:space="0" w:color="auto"/>
        <w:bottom w:val="none" w:sz="0" w:space="0" w:color="auto"/>
        <w:right w:val="none" w:sz="0" w:space="0" w:color="auto"/>
      </w:divBdr>
    </w:div>
    <w:div w:id="1026246928">
      <w:bodyDiv w:val="1"/>
      <w:marLeft w:val="0"/>
      <w:marRight w:val="0"/>
      <w:marTop w:val="0"/>
      <w:marBottom w:val="0"/>
      <w:divBdr>
        <w:top w:val="none" w:sz="0" w:space="0" w:color="auto"/>
        <w:left w:val="none" w:sz="0" w:space="0" w:color="auto"/>
        <w:bottom w:val="none" w:sz="0" w:space="0" w:color="auto"/>
        <w:right w:val="none" w:sz="0" w:space="0" w:color="auto"/>
      </w:divBdr>
    </w:div>
    <w:div w:id="1029600210">
      <w:bodyDiv w:val="1"/>
      <w:marLeft w:val="0"/>
      <w:marRight w:val="0"/>
      <w:marTop w:val="0"/>
      <w:marBottom w:val="0"/>
      <w:divBdr>
        <w:top w:val="none" w:sz="0" w:space="0" w:color="auto"/>
        <w:left w:val="none" w:sz="0" w:space="0" w:color="auto"/>
        <w:bottom w:val="none" w:sz="0" w:space="0" w:color="auto"/>
        <w:right w:val="none" w:sz="0" w:space="0" w:color="auto"/>
      </w:divBdr>
    </w:div>
    <w:div w:id="1064640649">
      <w:bodyDiv w:val="1"/>
      <w:marLeft w:val="0"/>
      <w:marRight w:val="0"/>
      <w:marTop w:val="0"/>
      <w:marBottom w:val="0"/>
      <w:divBdr>
        <w:top w:val="none" w:sz="0" w:space="0" w:color="auto"/>
        <w:left w:val="none" w:sz="0" w:space="0" w:color="auto"/>
        <w:bottom w:val="none" w:sz="0" w:space="0" w:color="auto"/>
        <w:right w:val="none" w:sz="0" w:space="0" w:color="auto"/>
      </w:divBdr>
    </w:div>
    <w:div w:id="1086879030">
      <w:bodyDiv w:val="1"/>
      <w:marLeft w:val="0"/>
      <w:marRight w:val="0"/>
      <w:marTop w:val="0"/>
      <w:marBottom w:val="0"/>
      <w:divBdr>
        <w:top w:val="none" w:sz="0" w:space="0" w:color="auto"/>
        <w:left w:val="none" w:sz="0" w:space="0" w:color="auto"/>
        <w:bottom w:val="none" w:sz="0" w:space="0" w:color="auto"/>
        <w:right w:val="none" w:sz="0" w:space="0" w:color="auto"/>
      </w:divBdr>
    </w:div>
    <w:div w:id="1284580429">
      <w:bodyDiv w:val="1"/>
      <w:marLeft w:val="0"/>
      <w:marRight w:val="0"/>
      <w:marTop w:val="0"/>
      <w:marBottom w:val="0"/>
      <w:divBdr>
        <w:top w:val="none" w:sz="0" w:space="0" w:color="auto"/>
        <w:left w:val="none" w:sz="0" w:space="0" w:color="auto"/>
        <w:bottom w:val="none" w:sz="0" w:space="0" w:color="auto"/>
        <w:right w:val="none" w:sz="0" w:space="0" w:color="auto"/>
      </w:divBdr>
    </w:div>
    <w:div w:id="1359889138">
      <w:bodyDiv w:val="1"/>
      <w:marLeft w:val="0"/>
      <w:marRight w:val="0"/>
      <w:marTop w:val="0"/>
      <w:marBottom w:val="0"/>
      <w:divBdr>
        <w:top w:val="none" w:sz="0" w:space="0" w:color="auto"/>
        <w:left w:val="none" w:sz="0" w:space="0" w:color="auto"/>
        <w:bottom w:val="none" w:sz="0" w:space="0" w:color="auto"/>
        <w:right w:val="none" w:sz="0" w:space="0" w:color="auto"/>
      </w:divBdr>
    </w:div>
    <w:div w:id="1465538220">
      <w:bodyDiv w:val="1"/>
      <w:marLeft w:val="0"/>
      <w:marRight w:val="0"/>
      <w:marTop w:val="0"/>
      <w:marBottom w:val="0"/>
      <w:divBdr>
        <w:top w:val="none" w:sz="0" w:space="0" w:color="auto"/>
        <w:left w:val="none" w:sz="0" w:space="0" w:color="auto"/>
        <w:bottom w:val="none" w:sz="0" w:space="0" w:color="auto"/>
        <w:right w:val="none" w:sz="0" w:space="0" w:color="auto"/>
      </w:divBdr>
    </w:div>
    <w:div w:id="1508128948">
      <w:bodyDiv w:val="1"/>
      <w:marLeft w:val="0"/>
      <w:marRight w:val="0"/>
      <w:marTop w:val="0"/>
      <w:marBottom w:val="0"/>
      <w:divBdr>
        <w:top w:val="none" w:sz="0" w:space="0" w:color="auto"/>
        <w:left w:val="none" w:sz="0" w:space="0" w:color="auto"/>
        <w:bottom w:val="none" w:sz="0" w:space="0" w:color="auto"/>
        <w:right w:val="none" w:sz="0" w:space="0" w:color="auto"/>
      </w:divBdr>
    </w:div>
    <w:div w:id="2036805830">
      <w:bodyDiv w:val="1"/>
      <w:marLeft w:val="0"/>
      <w:marRight w:val="0"/>
      <w:marTop w:val="0"/>
      <w:marBottom w:val="0"/>
      <w:divBdr>
        <w:top w:val="none" w:sz="0" w:space="0" w:color="auto"/>
        <w:left w:val="none" w:sz="0" w:space="0" w:color="auto"/>
        <w:bottom w:val="none" w:sz="0" w:space="0" w:color="auto"/>
        <w:right w:val="none" w:sz="0" w:space="0" w:color="auto"/>
      </w:divBdr>
    </w:div>
    <w:div w:id="20472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uk@agea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ky.hadley@hadstrong.com" TargetMode="External"/><Relationship Id="rId17" Type="http://schemas.openxmlformats.org/officeDocument/2006/relationships/hyperlink" Target="http://www.twitter.com/saferoaddesign" TargetMode="External"/><Relationship Id="rId2" Type="http://schemas.openxmlformats.org/officeDocument/2006/relationships/numbering" Target="numbering.xml"/><Relationship Id="rId16" Type="http://schemas.openxmlformats.org/officeDocument/2006/relationships/hyperlink" Target="http://www.roadsafety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adsafetyfoundation.org/gb-risk-mapping-2019-pre-launch-area/" TargetMode="External"/><Relationship Id="rId5" Type="http://schemas.openxmlformats.org/officeDocument/2006/relationships/webSettings" Target="webSettings.xml"/><Relationship Id="rId15" Type="http://schemas.openxmlformats.org/officeDocument/2006/relationships/hyperlink" Target="http://www.twitter.com/ageasuk" TargetMode="External"/><Relationship Id="rId10" Type="http://schemas.openxmlformats.org/officeDocument/2006/relationships/hyperlink" Target="https://dangerousroads.agea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e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7A96-045C-460C-AE54-A88E7D8D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Ageas Insurance Ltd</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Brian Lawton</cp:lastModifiedBy>
  <cp:revision>3</cp:revision>
  <dcterms:created xsi:type="dcterms:W3CDTF">2019-07-02T11:18:00Z</dcterms:created>
  <dcterms:modified xsi:type="dcterms:W3CDTF">2019-07-02T11:21:00Z</dcterms:modified>
</cp:coreProperties>
</file>